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02F24">
      <w:pPr>
        <w:widowControl/>
        <w:jc w:val="left"/>
        <w:outlineLvl w:val="2"/>
        <w:rPr>
          <w:rFonts w:hint="eastAsia" w:ascii="仿宋" w:hAnsi="仿宋" w:eastAsia="仿宋" w:cs="仿宋"/>
          <w:b/>
          <w:kern w:val="0"/>
          <w:sz w:val="28"/>
          <w:szCs w:val="20"/>
        </w:rPr>
      </w:pPr>
      <w:bookmarkStart w:id="0" w:name="_Toc5693437"/>
      <w:bookmarkStart w:id="1" w:name="_Toc509480188"/>
      <w:bookmarkStart w:id="2" w:name="_Toc11394999"/>
      <w:bookmarkStart w:id="3" w:name="_Toc111551733"/>
      <w:bookmarkStart w:id="4" w:name="_Toc510556685"/>
      <w:bookmarkStart w:id="5" w:name="_Toc13395381"/>
      <w:bookmarkStart w:id="6" w:name="_Toc111734159"/>
      <w:bookmarkStart w:id="7" w:name="_Toc111553592"/>
      <w:bookmarkStart w:id="8" w:name="_Toc111554039"/>
      <w:r>
        <w:rPr>
          <w:rFonts w:hint="eastAsia" w:ascii="仿宋" w:hAnsi="仿宋" w:eastAsia="仿宋" w:cs="仿宋"/>
          <w:b/>
          <w:kern w:val="0"/>
          <w:sz w:val="28"/>
          <w:szCs w:val="20"/>
        </w:rPr>
        <w:t>格式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20D5404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第   标段（若分标段）  </w:t>
      </w:r>
    </w:p>
    <w:p w14:paraId="145CF26D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</w:t>
      </w:r>
    </w:p>
    <w:p w14:paraId="4CCCF253">
      <w:pPr>
        <w:spacing w:line="360" w:lineRule="auto"/>
        <w:textAlignment w:val="baseline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说明：供应商必须仔细阅读磋商文件</w:t>
      </w:r>
      <w:r>
        <w:rPr>
          <w:rFonts w:hint="eastAsia" w:ascii="仿宋" w:hAnsi="仿宋" w:eastAsia="仿宋" w:cs="仿宋"/>
          <w:b/>
          <w:sz w:val="24"/>
          <w:szCs w:val="24"/>
        </w:rPr>
        <w:t>中</w:t>
      </w:r>
      <w:r>
        <w:rPr>
          <w:rFonts w:hint="eastAsia" w:ascii="仿宋" w:hAnsi="仿宋" w:eastAsia="仿宋" w:cs="仿宋"/>
          <w:b/>
          <w:sz w:val="24"/>
          <w:szCs w:val="24"/>
        </w:rPr>
        <w:t>所有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</w:rPr>
        <w:t>要求，并将所有偏离的条目列入下表，未列入下表的视作供应商完全</w:t>
      </w:r>
      <w:r>
        <w:rPr>
          <w:rFonts w:hint="eastAsia" w:ascii="仿宋" w:hAnsi="仿宋" w:eastAsia="仿宋" w:cs="仿宋"/>
          <w:b/>
          <w:sz w:val="24"/>
          <w:szCs w:val="24"/>
        </w:rPr>
        <w:t>响应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1"/>
        <w:gridCol w:w="1988"/>
        <w:gridCol w:w="2352"/>
        <w:gridCol w:w="1098"/>
        <w:gridCol w:w="3523"/>
      </w:tblGrid>
      <w:tr w14:paraId="52B203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6D7932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5DA14A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0FC2B1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的商务要求</w:t>
            </w:r>
          </w:p>
        </w:tc>
        <w:tc>
          <w:tcPr>
            <w:tcW w:w="1098" w:type="dxa"/>
            <w:vAlign w:val="center"/>
          </w:tcPr>
          <w:p w14:paraId="3B0DDC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1DCCBE6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4B1799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12471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B67F4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6E1410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12C439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23" w:type="dxa"/>
            <w:vAlign w:val="center"/>
          </w:tcPr>
          <w:p w14:paraId="0CDE66B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4C5AB3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637347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588DBB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506E5D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34F902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23" w:type="dxa"/>
            <w:vAlign w:val="center"/>
          </w:tcPr>
          <w:p w14:paraId="4FE9833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40F974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4EA291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DC21A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14:paraId="2A829D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14:paraId="6FDE03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23" w:type="dxa"/>
            <w:vAlign w:val="center"/>
          </w:tcPr>
          <w:p w14:paraId="332C2E5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5AF0F2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3CFBF5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2905B4A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6890B4BB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供应商全称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8"/>
        </w:rPr>
        <w:t>盖单位公章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12725D2D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法人代表或授权代表（</w:t>
      </w:r>
      <w:r>
        <w:rPr>
          <w:rFonts w:hint="eastAsia" w:ascii="仿宋" w:hAnsi="仿宋" w:eastAsia="仿宋" w:cs="仿宋"/>
          <w:sz w:val="24"/>
          <w:szCs w:val="24"/>
        </w:rPr>
        <w:t>签字或盖章</w:t>
      </w:r>
      <w:r>
        <w:rPr>
          <w:rFonts w:hint="eastAsia" w:ascii="仿宋" w:hAnsi="仿宋" w:eastAsia="仿宋" w:cs="仿宋"/>
          <w:sz w:val="24"/>
          <w:szCs w:val="28"/>
        </w:rPr>
        <w:t>）：</w:t>
      </w:r>
    </w:p>
    <w:p w14:paraId="486D48C3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日  期：</w:t>
      </w:r>
    </w:p>
    <w:p w14:paraId="238D2A46">
      <w:pPr>
        <w:spacing w:line="360" w:lineRule="auto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注：</w:t>
      </w:r>
      <w:bookmarkStart w:id="9" w:name="_GoBack"/>
      <w:bookmarkEnd w:id="9"/>
    </w:p>
    <w:p w14:paraId="799B7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1、本表即为对本项目</w:t>
      </w:r>
      <w:r>
        <w:rPr>
          <w:rFonts w:hint="eastAsia" w:ascii="仿宋" w:hAnsi="仿宋" w:eastAsia="仿宋" w:cs="仿宋"/>
          <w:sz w:val="24"/>
          <w:szCs w:val="24"/>
        </w:rPr>
        <w:t>第三章</w:t>
      </w:r>
      <w:r>
        <w:rPr>
          <w:rFonts w:hint="eastAsia" w:ascii="仿宋" w:hAnsi="仿宋" w:eastAsia="仿宋" w:cs="仿宋"/>
          <w:sz w:val="24"/>
          <w:szCs w:val="24"/>
        </w:rPr>
        <w:t>“</w:t>
      </w:r>
      <w:r>
        <w:rPr>
          <w:rFonts w:hint="eastAsia" w:ascii="仿宋" w:hAnsi="仿宋" w:eastAsia="仿宋" w:cs="仿宋"/>
          <w:sz w:val="24"/>
          <w:szCs w:val="24"/>
        </w:rPr>
        <w:t>磋商项目技术、服务、商务及其他要求</w:t>
      </w:r>
      <w:r>
        <w:rPr>
          <w:rFonts w:hint="eastAsia" w:ascii="仿宋" w:hAnsi="仿宋" w:eastAsia="仿宋" w:cs="仿宋"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的3.3商务要求和3.4其他要求</w:t>
      </w:r>
      <w:r>
        <w:rPr>
          <w:rFonts w:hint="eastAsia" w:ascii="仿宋" w:hAnsi="仿宋" w:eastAsia="仿宋" w:cs="仿宋"/>
          <w:sz w:val="24"/>
          <w:szCs w:val="24"/>
        </w:rPr>
        <w:t>中所列要求进行比较和响应。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请投标人逐条填写响应情况。</w:t>
      </w:r>
      <w:r>
        <w:rPr>
          <w:rFonts w:hint="eastAsia" w:ascii="仿宋" w:hAnsi="仿宋" w:eastAsia="仿宋" w:cs="仿宋"/>
          <w:sz w:val="24"/>
          <w:szCs w:val="24"/>
        </w:rPr>
        <w:t>如果所有条款均应答满足，</w:t>
      </w:r>
      <w:r>
        <w:rPr>
          <w:rFonts w:hint="eastAsia" w:ascii="仿宋" w:hAnsi="仿宋" w:eastAsia="仿宋" w:cs="仿宋"/>
          <w:sz w:val="24"/>
          <w:szCs w:val="24"/>
        </w:rPr>
        <w:t>可不逐条填写，须</w:t>
      </w:r>
      <w:r>
        <w:rPr>
          <w:rFonts w:hint="eastAsia" w:ascii="仿宋" w:hAnsi="仿宋" w:eastAsia="仿宋" w:cs="仿宋"/>
          <w:sz w:val="24"/>
          <w:szCs w:val="24"/>
        </w:rPr>
        <w:t>在“备注”栏中注明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“所有条款均完全响应”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5B9F7F6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2、对有偏离的</w:t>
      </w:r>
      <w:r>
        <w:rPr>
          <w:rFonts w:hint="eastAsia" w:ascii="仿宋" w:hAnsi="仿宋" w:eastAsia="仿宋" w:cs="仿宋"/>
          <w:bCs/>
          <w:sz w:val="24"/>
          <w:szCs w:val="24"/>
        </w:rPr>
        <w:t>条款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在本表“偏离</w:t>
      </w:r>
      <w:r>
        <w:rPr>
          <w:rFonts w:hint="eastAsia" w:ascii="仿宋" w:hAnsi="仿宋" w:eastAsia="仿宋" w:cs="仿宋"/>
          <w:sz w:val="24"/>
          <w:szCs w:val="24"/>
        </w:rPr>
        <w:t>情况</w:t>
      </w:r>
      <w:r>
        <w:rPr>
          <w:rFonts w:hint="eastAsia" w:ascii="仿宋" w:hAnsi="仿宋" w:eastAsia="仿宋" w:cs="仿宋"/>
          <w:sz w:val="24"/>
          <w:szCs w:val="24"/>
        </w:rPr>
        <w:t>”列中填写“正偏离”或“负偏离”，并在“偏离</w:t>
      </w:r>
      <w:r>
        <w:rPr>
          <w:rFonts w:hint="eastAsia" w:ascii="仿宋" w:hAnsi="仿宋" w:eastAsia="仿宋" w:cs="仿宋"/>
          <w:sz w:val="24"/>
          <w:szCs w:val="24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”列中加以说明。</w:t>
      </w:r>
      <w:r>
        <w:rPr>
          <w:rFonts w:hint="eastAsia" w:ascii="仿宋" w:hAnsi="仿宋" w:eastAsia="仿宋" w:cs="仿宋"/>
          <w:b/>
          <w:sz w:val="24"/>
          <w:szCs w:val="24"/>
        </w:rPr>
        <w:t>列写完所有偏离项目后，在备注栏填写：</w:t>
      </w:r>
      <w:r>
        <w:rPr>
          <w:rFonts w:hint="eastAsia" w:ascii="仿宋" w:hAnsi="仿宋" w:eastAsia="仿宋" w:cs="仿宋"/>
          <w:b/>
          <w:sz w:val="24"/>
          <w:szCs w:val="24"/>
        </w:rPr>
        <w:t>除本</w:t>
      </w:r>
      <w:r>
        <w:rPr>
          <w:rFonts w:hint="eastAsia" w:ascii="仿宋" w:hAnsi="仿宋" w:eastAsia="仿宋" w:cs="仿宋"/>
          <w:b/>
          <w:sz w:val="24"/>
          <w:szCs w:val="24"/>
        </w:rPr>
        <w:t>偏离</w:t>
      </w:r>
      <w:r>
        <w:rPr>
          <w:rFonts w:hint="eastAsia" w:ascii="仿宋" w:hAnsi="仿宋" w:eastAsia="仿宋" w:cs="仿宋"/>
          <w:b/>
          <w:sz w:val="24"/>
          <w:szCs w:val="24"/>
        </w:rPr>
        <w:t>表所列的偏</w:t>
      </w:r>
      <w:r>
        <w:rPr>
          <w:rFonts w:hint="eastAsia" w:ascii="仿宋" w:hAnsi="仿宋" w:eastAsia="仿宋" w:cs="仿宋"/>
          <w:b/>
          <w:sz w:val="24"/>
          <w:szCs w:val="24"/>
        </w:rPr>
        <w:t>离</w:t>
      </w:r>
      <w:r>
        <w:rPr>
          <w:rFonts w:hint="eastAsia" w:ascii="仿宋" w:hAnsi="仿宋" w:eastAsia="仿宋" w:cs="仿宋"/>
          <w:b/>
          <w:sz w:val="24"/>
          <w:szCs w:val="24"/>
        </w:rPr>
        <w:t>指标外，其他所有条款均完全响应磋商文件中的要求。</w:t>
      </w:r>
    </w:p>
    <w:p w14:paraId="10E8B4B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3、正偏离是指应答的条件高于磋商文件要求，负偏离是指应答的条件低于磋商文件要求。凡是</w:t>
      </w:r>
      <w:r>
        <w:rPr>
          <w:rFonts w:hint="eastAsia" w:ascii="仿宋" w:hAnsi="仿宋" w:eastAsia="仿宋" w:cs="仿宋"/>
          <w:sz w:val="24"/>
          <w:szCs w:val="24"/>
        </w:rPr>
        <w:t>响应文件</w:t>
      </w:r>
      <w:r>
        <w:rPr>
          <w:rFonts w:hint="eastAsia" w:ascii="仿宋" w:hAnsi="仿宋" w:eastAsia="仿宋" w:cs="仿宋"/>
          <w:sz w:val="24"/>
          <w:szCs w:val="24"/>
        </w:rPr>
        <w:t>的商务</w:t>
      </w:r>
      <w:r>
        <w:rPr>
          <w:rFonts w:hint="eastAsia" w:ascii="仿宋" w:hAnsi="仿宋" w:eastAsia="仿宋" w:cs="仿宋"/>
          <w:sz w:val="24"/>
          <w:szCs w:val="24"/>
        </w:rPr>
        <w:t>响应</w:t>
      </w:r>
      <w:r>
        <w:rPr>
          <w:rFonts w:hint="eastAsia" w:ascii="仿宋" w:hAnsi="仿宋" w:eastAsia="仿宋" w:cs="仿宋"/>
          <w:sz w:val="24"/>
          <w:szCs w:val="24"/>
        </w:rPr>
        <w:t>部分与磋商文件的要求之间存在负偏离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（即不能满足磋商文件要求），必须在</w:t>
      </w:r>
      <w:r>
        <w:rPr>
          <w:rFonts w:hint="eastAsia" w:ascii="仿宋" w:hAnsi="仿宋" w:eastAsia="仿宋" w:cs="仿宋"/>
          <w:sz w:val="24"/>
          <w:szCs w:val="24"/>
        </w:rPr>
        <w:t>本表格</w:t>
      </w:r>
      <w:r>
        <w:rPr>
          <w:rFonts w:hint="eastAsia" w:ascii="仿宋" w:hAnsi="仿宋" w:eastAsia="仿宋" w:cs="仿宋"/>
          <w:sz w:val="24"/>
          <w:szCs w:val="24"/>
        </w:rPr>
        <w:t>中明确</w:t>
      </w:r>
      <w:r>
        <w:rPr>
          <w:rFonts w:hint="eastAsia" w:ascii="仿宋" w:hAnsi="仿宋" w:eastAsia="仿宋" w:cs="仿宋"/>
          <w:sz w:val="24"/>
          <w:szCs w:val="24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，否则在成交后采购人一律不予考虑。</w:t>
      </w:r>
      <w:r>
        <w:rPr>
          <w:rFonts w:hint="eastAsia" w:ascii="仿宋" w:hAnsi="仿宋" w:eastAsia="仿宋" w:cs="仿宋"/>
          <w:b/>
          <w:sz w:val="24"/>
          <w:szCs w:val="24"/>
        </w:rPr>
        <w:t>如果在响应文件的“商务响应</w:t>
      </w:r>
      <w:r>
        <w:rPr>
          <w:rFonts w:hint="eastAsia" w:ascii="仿宋" w:hAnsi="仿宋" w:eastAsia="仿宋" w:cs="仿宋"/>
          <w:b/>
          <w:sz w:val="24"/>
          <w:szCs w:val="24"/>
        </w:rPr>
        <w:t>偏离</w:t>
      </w:r>
      <w:r>
        <w:rPr>
          <w:rFonts w:hint="eastAsia" w:ascii="仿宋" w:hAnsi="仿宋" w:eastAsia="仿宋" w:cs="仿宋"/>
          <w:b/>
          <w:sz w:val="24"/>
          <w:szCs w:val="24"/>
        </w:rPr>
        <w:t>表”之外发现负偏离的，</w:t>
      </w:r>
      <w:r>
        <w:rPr>
          <w:rFonts w:hint="eastAsia" w:ascii="仿宋" w:hAnsi="仿宋" w:eastAsia="仿宋" w:cs="仿宋"/>
          <w:b/>
          <w:sz w:val="24"/>
          <w:szCs w:val="24"/>
        </w:rPr>
        <w:t>磋商小组</w:t>
      </w:r>
      <w:r>
        <w:rPr>
          <w:rFonts w:hint="eastAsia" w:ascii="仿宋" w:hAnsi="仿宋" w:eastAsia="仿宋" w:cs="仿宋"/>
          <w:b/>
          <w:sz w:val="24"/>
          <w:szCs w:val="24"/>
        </w:rPr>
        <w:t>将作出对供应商不利的评估。</w:t>
      </w:r>
    </w:p>
    <w:p w14:paraId="10876DF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4、该表可扩展，并逐页签字或盖章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C"/>
    <w:rsid w:val="0046292E"/>
    <w:rsid w:val="00682F11"/>
    <w:rsid w:val="008E497D"/>
    <w:rsid w:val="00901508"/>
    <w:rsid w:val="009613DA"/>
    <w:rsid w:val="00AA562F"/>
    <w:rsid w:val="00B1482C"/>
    <w:rsid w:val="00B749A3"/>
    <w:rsid w:val="00BA153F"/>
    <w:rsid w:val="00DB4BFD"/>
    <w:rsid w:val="45A8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529</Words>
  <Characters>533</Characters>
  <Lines>4</Lines>
  <Paragraphs>1</Paragraphs>
  <TotalTime>0</TotalTime>
  <ScaleCrop>false</ScaleCrop>
  <LinksUpToDate>false</LinksUpToDate>
  <CharactersWithSpaces>631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2024-07-04T02:06:00Z</dcterms:created>
  <dc:creator>瑶 柯</dc:creator>
  <cp:lastModifiedBy>Administrator</cp:lastModifiedBy>
  <dcterms:modified xsi:type="dcterms:W3CDTF">2025-11-05T05:15:43Z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E964684822EE4F159AF84B341DD4675B_12</vt:lpwstr>
  </property>
</Properties>
</file>