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版本号：ZY2025-ZB-CS113520251118001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2025年度资源规划技术审查和公示牌制作服务项目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ZY2025-ZB-CS1135</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2025年度资源规划技术审查和公示牌制作服务项目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ZY2025-ZB-CS1135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2025年度资源规划技术审查和公示牌制作服务项目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根据《转发市资源规划局关于进一步规范资源规划“一书三证” 管理实施办法的通知》(市政办发〔2020〕13号)、《“一书三证” 管理实施细则》要求，需选择规划技术服务机构提供2024-2025年度西安市自然资源和规划局规划行政审批中的技术审查服务工作。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 ：提供2024年度经审计的完整财务报告或磋商日期前三个月内其基本存款账户开户银行出具的资信证明。（如提供资信证明，须同时提供基本存款账户开户许可证或基本账户信息表）。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 ：提供2025年1月至今已缴纳的至少三个月的纳税证明（时间以税款所属日期为准)，依法免税的单位应提供相关证明材料。</w:t>
      </w:r>
    </w:p>
    <w:p>
      <w:pPr>
        <w:pStyle w:val="null3"/>
      </w:pPr>
      <w:r>
        <w:rPr>
          <w:rFonts w:ascii="仿宋_GB2312" w:hAnsi="仿宋_GB2312" w:cs="仿宋_GB2312" w:eastAsia="仿宋_GB2312"/>
        </w:rPr>
        <w:t>4、社会保障资金缴纳证明 ：提供2025年1月至今已缴存的至少三个月的社会保障资金缴存单据或社保机构开具的社会保险参保缴费情况证明，依法不需要缴纳社会保障资金的单位应提供相关证明材料。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 ：提供具有履行本合同所必需的设备和专业技术能力的书面声明及承诺。</w:t>
      </w:r>
    </w:p>
    <w:p>
      <w:pPr>
        <w:pStyle w:val="null3"/>
      </w:pPr>
      <w:r>
        <w:rPr>
          <w:rFonts w:ascii="仿宋_GB2312" w:hAnsi="仿宋_GB2312" w:cs="仿宋_GB2312" w:eastAsia="仿宋_GB2312"/>
        </w:rPr>
        <w:t>6、无重大违法记录 ：提供参加本次政府采购活动前三年内在经营活动中没有重大违法记录的书面声明。</w:t>
      </w:r>
    </w:p>
    <w:p>
      <w:pPr>
        <w:pStyle w:val="null3"/>
      </w:pPr>
      <w:r>
        <w:rPr>
          <w:rFonts w:ascii="仿宋_GB2312" w:hAnsi="仿宋_GB2312" w:cs="仿宋_GB2312" w:eastAsia="仿宋_GB2312"/>
        </w:rPr>
        <w:t>7、信用记录 ：供应商未被列入信用中国网站(www.creditchina.gov.cn)“失信被执行人、重大税收违法失信主体”；不处于中国政府采购网(www.ccgp.gov.cn)“政府采购严重违法失信行为信息记录”中的禁止参加政府采购活动期间。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 ：法定代表人授权委托书、被授权人身份证(法定代表人参加开标时,只需提供法定代表人身份证；被授权人参加开标时，须提供开标前三个月内任意一个月的基本养老保险参保缴费证明。</w:t>
      </w:r>
    </w:p>
    <w:p>
      <w:pPr>
        <w:pStyle w:val="null3"/>
      </w:pPr>
      <w:r>
        <w:rPr>
          <w:rFonts w:ascii="仿宋_GB2312" w:hAnsi="仿宋_GB2312" w:cs="仿宋_GB2312" w:eastAsia="仿宋_GB2312"/>
        </w:rPr>
        <w:t>9、资质要求 ：供应商须具有城乡规划编制甲级资质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029-86785349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不足8000.00元按照8000计取。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联系人：林工</w:t>
      </w:r>
    </w:p>
    <w:p>
      <w:pPr>
        <w:pStyle w:val="null3"/>
      </w:pPr>
      <w:r>
        <w:rPr>
          <w:rFonts w:ascii="仿宋_GB2312" w:hAnsi="仿宋_GB2312" w:cs="仿宋_GB2312" w:eastAsia="仿宋_GB2312"/>
        </w:rPr>
        <w:t>联系电话：029-86210100转810</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根据《转发市资源规划局关于进一步规范资源规划“一书三证” 管理实施办法的通知》(市政办发〔2020〕13号)、《“一书三证” 管理实施细则》要求，需选择规划技术服务机构提供2025-2026年度西安市自然资源和规划局规划行政审批中的技术审查服务工作。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1,560,000.00</w:t>
      </w:r>
    </w:p>
    <w:p>
      <w:pPr>
        <w:pStyle w:val="null3"/>
      </w:pPr>
      <w:r>
        <w:rPr>
          <w:rFonts w:ascii="仿宋_GB2312" w:hAnsi="仿宋_GB2312" w:cs="仿宋_GB2312" w:eastAsia="仿宋_GB2312"/>
        </w:rPr>
        <w:t>采购包最高限价（元）: 1,560,000.00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2025年度资源规划技术审查和公示牌制作服务项目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标的名称：2025年度资源规划技术审查和公示牌制作服务项目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一、服务内容</w:t>
            </w:r>
          </w:p>
          <w:p>
            <w:pPr>
              <w:pStyle w:val="null3"/>
              <w:jc w:val="left"/>
            </w:pPr>
            <w:r>
              <w:rPr>
                <w:rFonts w:ascii="仿宋_GB2312" w:hAnsi="仿宋_GB2312" w:cs="仿宋_GB2312" w:eastAsia="仿宋_GB2312"/>
                <w:sz w:val="24"/>
              </w:rPr>
              <w:t>服务范围：西安市自然资源和规划局市局及城六区分局(灞桥、 莲湖、碑林、雁塔、新城、未央),办理《建设工程规划许可证》 阶段的设计方案审查。</w:t>
            </w:r>
          </w:p>
          <w:p>
            <w:pPr>
              <w:pStyle w:val="null3"/>
              <w:jc w:val="left"/>
            </w:pPr>
            <w:r>
              <w:rPr>
                <w:rFonts w:ascii="仿宋_GB2312" w:hAnsi="仿宋_GB2312" w:cs="仿宋_GB2312" w:eastAsia="仿宋_GB2312"/>
                <w:sz w:val="24"/>
              </w:rPr>
              <w:t>服务内容：</w:t>
            </w:r>
          </w:p>
          <w:p>
            <w:pPr>
              <w:pStyle w:val="null3"/>
              <w:jc w:val="left"/>
            </w:pPr>
            <w:r>
              <w:rPr>
                <w:rFonts w:ascii="仿宋_GB2312" w:hAnsi="仿宋_GB2312" w:cs="仿宋_GB2312" w:eastAsia="仿宋_GB2312"/>
                <w:sz w:val="24"/>
              </w:rPr>
              <w:t>(一)建设用地合规性审查</w:t>
            </w:r>
          </w:p>
          <w:p>
            <w:pPr>
              <w:pStyle w:val="null3"/>
              <w:jc w:val="left"/>
            </w:pPr>
            <w:r>
              <w:rPr>
                <w:rFonts w:ascii="仿宋_GB2312" w:hAnsi="仿宋_GB2312" w:cs="仿宋_GB2312" w:eastAsia="仿宋_GB2312"/>
                <w:sz w:val="24"/>
              </w:rPr>
              <w:t>对建设用地是否符合国土空间规划，是否位于文物保护建设控制地带、航空限高区、城市风貌重点管控范围等限制建设区，城市各类建设控制线位置是否准确做出核查。</w:t>
            </w:r>
          </w:p>
          <w:p>
            <w:pPr>
              <w:pStyle w:val="null3"/>
              <w:jc w:val="left"/>
            </w:pPr>
            <w:r>
              <w:rPr>
                <w:rFonts w:ascii="仿宋_GB2312" w:hAnsi="仿宋_GB2312" w:cs="仿宋_GB2312" w:eastAsia="仿宋_GB2312"/>
                <w:sz w:val="24"/>
              </w:rPr>
              <w:t>(二)数据质检</w:t>
            </w:r>
          </w:p>
          <w:p>
            <w:pPr>
              <w:pStyle w:val="null3"/>
              <w:jc w:val="left"/>
            </w:pPr>
            <w:r>
              <w:rPr>
                <w:rFonts w:ascii="仿宋_GB2312" w:hAnsi="仿宋_GB2312" w:cs="仿宋_GB2312" w:eastAsia="仿宋_GB2312"/>
                <w:sz w:val="24"/>
              </w:rPr>
              <w:t>对设计方案进行数据标准化检测，满足智能审查要求。</w:t>
            </w:r>
          </w:p>
          <w:p>
            <w:pPr>
              <w:pStyle w:val="null3"/>
              <w:jc w:val="left"/>
            </w:pPr>
            <w:r>
              <w:rPr>
                <w:rFonts w:ascii="仿宋_GB2312" w:hAnsi="仿宋_GB2312" w:cs="仿宋_GB2312" w:eastAsia="仿宋_GB2312"/>
                <w:sz w:val="24"/>
              </w:rPr>
              <w:t>(三)现状建筑审查</w:t>
            </w:r>
          </w:p>
          <w:p>
            <w:pPr>
              <w:pStyle w:val="null3"/>
              <w:jc w:val="left"/>
            </w:pPr>
            <w:r>
              <w:rPr>
                <w:rFonts w:ascii="仿宋_GB2312" w:hAnsi="仿宋_GB2312" w:cs="仿宋_GB2312" w:eastAsia="仿宋_GB2312"/>
                <w:sz w:val="24"/>
              </w:rPr>
              <w:t>对和设计方案相关的周边现状建筑的建筑性质、建筑楼位、建筑层数、建筑高度等进行数据准确性审查。</w:t>
            </w:r>
          </w:p>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(四)建设工程设计方案审查</w:t>
            </w:r>
          </w:p>
          <w:p>
            <w:pPr>
              <w:pStyle w:val="null3"/>
              <w:jc w:val="left"/>
            </w:pPr>
            <w:r>
              <w:rPr>
                <w:rFonts w:ascii="仿宋_GB2312" w:hAnsi="仿宋_GB2312" w:cs="仿宋_GB2312" w:eastAsia="仿宋_GB2312"/>
                <w:sz w:val="24"/>
              </w:rPr>
              <w:t>1、总图审查</w:t>
            </w:r>
          </w:p>
          <w:p>
            <w:pPr>
              <w:pStyle w:val="null3"/>
              <w:jc w:val="left"/>
            </w:pPr>
            <w:r>
              <w:rPr>
                <w:rFonts w:ascii="仿宋_GB2312" w:hAnsi="仿宋_GB2312" w:cs="仿宋_GB2312" w:eastAsia="仿宋_GB2312"/>
                <w:sz w:val="24"/>
              </w:rPr>
              <w:t>核查建设工程设计方案各项主要技术指标是否满足规划条件要求。主要经济技术指标是指各类建(构)物建筑面积、容积率、建筑密度(建筑系数)、绿地率、停车位、建筑高度、建筑间距、建筑退线以及《西安市居住区规划设计指导意见》相关内容。</w:t>
            </w:r>
          </w:p>
          <w:p>
            <w:pPr>
              <w:pStyle w:val="null3"/>
              <w:jc w:val="left"/>
            </w:pPr>
            <w:r>
              <w:rPr>
                <w:rFonts w:ascii="仿宋_GB2312" w:hAnsi="仿宋_GB2312" w:cs="仿宋_GB2312" w:eastAsia="仿宋_GB2312"/>
                <w:sz w:val="24"/>
              </w:rPr>
              <w:t xml:space="preserve">2、单体审查    </w:t>
            </w:r>
          </w:p>
          <w:p>
            <w:pPr>
              <w:pStyle w:val="null3"/>
              <w:jc w:val="left"/>
            </w:pPr>
            <w:r>
              <w:rPr>
                <w:rFonts w:ascii="仿宋_GB2312" w:hAnsi="仿宋_GB2312" w:cs="仿宋_GB2312" w:eastAsia="仿宋_GB2312"/>
                <w:sz w:val="24"/>
              </w:rPr>
              <w:t>对各栋建(构)筑物的建筑性质、基底面积、建筑面积、建筑 高度进行总图符合性、技术标准符合性审查。</w:t>
            </w:r>
          </w:p>
          <w:p>
            <w:pPr>
              <w:pStyle w:val="null3"/>
              <w:jc w:val="left"/>
            </w:pPr>
            <w:r>
              <w:rPr>
                <w:rFonts w:ascii="仿宋_GB2312" w:hAnsi="仿宋_GB2312" w:cs="仿宋_GB2312" w:eastAsia="仿宋_GB2312"/>
                <w:sz w:val="24"/>
              </w:rPr>
              <w:t>(五)日照分析报告审查</w:t>
            </w:r>
          </w:p>
          <w:p>
            <w:pPr>
              <w:pStyle w:val="null3"/>
              <w:jc w:val="left"/>
            </w:pPr>
            <w:r>
              <w:rPr>
                <w:rFonts w:ascii="仿宋_GB2312" w:hAnsi="仿宋_GB2312" w:cs="仿宋_GB2312" w:eastAsia="仿宋_GB2312"/>
                <w:sz w:val="24"/>
              </w:rPr>
              <w:t>按照国家、地方行业技术标准、管理规定，在现场踏勘基础上，对日照分析报告进行审查，审查内容包括日照分析标准、日照分析软件、日照分析参数、日照分析方法、日照分析主客体范围、日照分析周边资料、日照分析结论、日照分析成果格式。</w:t>
            </w:r>
          </w:p>
          <w:p>
            <w:pPr>
              <w:pStyle w:val="null3"/>
              <w:jc w:val="left"/>
            </w:pPr>
            <w:r>
              <w:rPr>
                <w:rFonts w:ascii="仿宋_GB2312" w:hAnsi="仿宋_GB2312" w:cs="仿宋_GB2312" w:eastAsia="仿宋_GB2312"/>
                <w:sz w:val="24"/>
              </w:rPr>
              <w:t>(六)公示牌电子小样制作</w:t>
            </w:r>
          </w:p>
          <w:p>
            <w:pPr>
              <w:pStyle w:val="null3"/>
              <w:jc w:val="left"/>
            </w:pPr>
            <w:r>
              <w:rPr>
                <w:rFonts w:ascii="仿宋_GB2312" w:hAnsi="仿宋_GB2312" w:cs="仿宋_GB2312" w:eastAsia="仿宋_GB2312"/>
                <w:sz w:val="24"/>
              </w:rPr>
              <w:t>按照指定格式制作规划、用地、工程许可阶段各类公示牌电子小样。</w:t>
            </w:r>
          </w:p>
          <w:p>
            <w:pPr>
              <w:pStyle w:val="null3"/>
              <w:jc w:val="left"/>
            </w:pPr>
            <w:r>
              <w:rPr>
                <w:rFonts w:ascii="仿宋_GB2312" w:hAnsi="仿宋_GB2312" w:cs="仿宋_GB2312" w:eastAsia="仿宋_GB2312"/>
                <w:sz w:val="24"/>
              </w:rPr>
              <w:t>二、技术要求</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智能审查要求。采用智能机审辅以人工审查的方式开展建设工程设计方案技术审查。</w:t>
            </w:r>
          </w:p>
          <w:p>
            <w:pPr>
              <w:pStyle w:val="null3"/>
              <w:jc w:val="left"/>
            </w:pPr>
            <w:r>
              <w:rPr>
                <w:rFonts w:ascii="仿宋_GB2312" w:hAnsi="仿宋_GB2312" w:cs="仿宋_GB2312" w:eastAsia="仿宋_GB2312"/>
                <w:sz w:val="24"/>
              </w:rPr>
              <w:t>(二)全程网办要求。在“西安市建设工程设计方案技术审查</w:t>
            </w:r>
            <w:r>
              <w:rPr>
                <w:rFonts w:ascii="仿宋_GB2312" w:hAnsi="仿宋_GB2312" w:cs="仿宋_GB2312" w:eastAsia="仿宋_GB2312"/>
                <w:sz w:val="24"/>
              </w:rPr>
              <w:t>系统”平台上开展全过程建设工程设计方案技术审查工作，包括资料受理、审查资料流转、审查成果出具，满足不见面、无纸化审查工作要求。</w:t>
            </w:r>
          </w:p>
          <w:p>
            <w:pPr>
              <w:pStyle w:val="null3"/>
              <w:jc w:val="left"/>
            </w:pPr>
            <w:r>
              <w:rPr>
                <w:rFonts w:ascii="仿宋_GB2312" w:hAnsi="仿宋_GB2312" w:cs="仿宋_GB2312" w:eastAsia="仿宋_GB2312"/>
                <w:sz w:val="24"/>
              </w:rPr>
              <w:t>(三)成果加密要求。按指定格式，对审查完成的建设工程设</w:t>
            </w:r>
          </w:p>
          <w:p>
            <w:pPr>
              <w:pStyle w:val="null3"/>
              <w:jc w:val="left"/>
            </w:pPr>
            <w:r>
              <w:rPr>
                <w:rFonts w:ascii="仿宋_GB2312" w:hAnsi="仿宋_GB2312" w:cs="仿宋_GB2312" w:eastAsia="仿宋_GB2312"/>
                <w:sz w:val="24"/>
              </w:rPr>
              <w:t>计方案(包括总图、单体图)、日照分析报告进行加密。</w:t>
            </w:r>
          </w:p>
          <w:p>
            <w:pPr>
              <w:pStyle w:val="null3"/>
              <w:jc w:val="left"/>
            </w:pPr>
            <w:r>
              <w:rPr>
                <w:rFonts w:ascii="仿宋_GB2312" w:hAnsi="仿宋_GB2312" w:cs="仿宋_GB2312" w:eastAsia="仿宋_GB2312"/>
                <w:sz w:val="24"/>
              </w:rPr>
              <w:t>(四)成果交付要求。建设用地合规性审查完成出具合规性审查意见；建设工程设计方案技术审查完成出具《建设工程设计方案技术审查意见书》；日照分析报告审查完成出具《日照分析报告复核意见书》；公示牌小样制作完成出具公示牌电子小样。</w:t>
            </w:r>
          </w:p>
          <w:p>
            <w:pPr>
              <w:pStyle w:val="null3"/>
              <w:jc w:val="left"/>
            </w:pPr>
            <w:r>
              <w:rPr>
                <w:rFonts w:ascii="仿宋_GB2312" w:hAnsi="仿宋_GB2312" w:cs="仿宋_GB2312" w:eastAsia="仿宋_GB2312"/>
                <w:sz w:val="24"/>
              </w:rPr>
              <w:t>(五)审查时效要求。用地合规性审查意见3个工作日内出具；建设工程设计方案技术审查意见5个工作日内出具，特殊事项当日出具；日照 分析报告复核意见5个工作日内出具，特殊事项当日出具；公示牌小样3个工作日内出具。</w:t>
            </w:r>
          </w:p>
          <w:p>
            <w:pPr>
              <w:pStyle w:val="null3"/>
              <w:jc w:val="left"/>
            </w:pPr>
            <w:r>
              <w:rPr>
                <w:rFonts w:ascii="仿宋_GB2312" w:hAnsi="仿宋_GB2312" w:cs="仿宋_GB2312" w:eastAsia="仿宋_GB2312"/>
                <w:sz w:val="24"/>
              </w:rPr>
              <w:t>三、服务要求</w:t>
            </w:r>
          </w:p>
          <w:p>
            <w:pPr>
              <w:pStyle w:val="null3"/>
              <w:jc w:val="left"/>
            </w:pPr>
            <w:r>
              <w:rPr>
                <w:rFonts w:ascii="仿宋_GB2312" w:hAnsi="仿宋_GB2312" w:cs="仿宋_GB2312" w:eastAsia="仿宋_GB2312"/>
                <w:sz w:val="24"/>
              </w:rPr>
              <w:t>(一)须配置具有规划、建筑、地理信息、开发(系统、软件)专业背景的技术团队在指定地点服务。</w:t>
            </w:r>
          </w:p>
          <w:p>
            <w:pPr>
              <w:pStyle w:val="null3"/>
              <w:jc w:val="left"/>
            </w:pPr>
            <w:r>
              <w:rPr>
                <w:rFonts w:ascii="仿宋_GB2312" w:hAnsi="仿宋_GB2312" w:cs="仿宋_GB2312" w:eastAsia="仿宋_GB2312"/>
                <w:sz w:val="24"/>
              </w:rPr>
              <w:t>(二)项目负责人及项目团队成员须具有丰富的设计方案审查相关经验。</w:t>
            </w:r>
          </w:p>
          <w:p>
            <w:pPr>
              <w:pStyle w:val="null3"/>
              <w:jc w:val="left"/>
            </w:pPr>
            <w:r>
              <w:rPr>
                <w:rFonts w:ascii="仿宋_GB2312" w:hAnsi="仿宋_GB2312" w:cs="仿宋_GB2312" w:eastAsia="仿宋_GB2312"/>
                <w:sz w:val="24"/>
              </w:rPr>
              <w:t>(三)服务单位须具有软件开发及本地化服务能力，能够根据采购人的要求增加、修改智能审查软件功能。</w:t>
            </w:r>
          </w:p>
          <w:p>
            <w:pPr>
              <w:pStyle w:val="null3"/>
              <w:jc w:val="left"/>
            </w:pPr>
            <w:r>
              <w:rPr>
                <w:rFonts w:ascii="仿宋_GB2312" w:hAnsi="仿宋_GB2312" w:cs="仿宋_GB2312" w:eastAsia="仿宋_GB2312"/>
                <w:sz w:val="24"/>
              </w:rPr>
              <w:t>(四)服务单位须具有现状建筑信息准确性的核查能力。</w:t>
            </w:r>
          </w:p>
          <w:p>
            <w:pPr>
              <w:pStyle w:val="null3"/>
              <w:jc w:val="left"/>
            </w:pPr>
            <w:r>
              <w:rPr>
                <w:rFonts w:ascii="仿宋_GB2312" w:hAnsi="仿宋_GB2312" w:cs="仿宋_GB2312" w:eastAsia="仿宋_GB2312"/>
                <w:sz w:val="24"/>
              </w:rPr>
              <w:t>四、商务要求</w:t>
            </w:r>
          </w:p>
          <w:p>
            <w:pPr>
              <w:pStyle w:val="null3"/>
              <w:jc w:val="left"/>
            </w:pPr>
            <w:r>
              <w:rPr>
                <w:rFonts w:ascii="仿宋_GB2312" w:hAnsi="仿宋_GB2312" w:cs="仿宋_GB2312" w:eastAsia="仿宋_GB2312"/>
                <w:sz w:val="24"/>
              </w:rPr>
              <w:t>( 一 )服务期限</w:t>
            </w:r>
          </w:p>
          <w:p>
            <w:pPr>
              <w:pStyle w:val="null3"/>
              <w:jc w:val="left"/>
            </w:pPr>
            <w:r>
              <w:rPr>
                <w:rFonts w:ascii="仿宋_GB2312" w:hAnsi="仿宋_GB2312" w:cs="仿宋_GB2312" w:eastAsia="仿宋_GB2312"/>
                <w:sz w:val="24"/>
              </w:rPr>
              <w:t>自合同签订之日起一年。</w:t>
            </w:r>
          </w:p>
          <w:p>
            <w:pPr>
              <w:pStyle w:val="null3"/>
              <w:jc w:val="left"/>
            </w:pPr>
            <w:r>
              <w:rPr>
                <w:rFonts w:ascii="仿宋_GB2312" w:hAnsi="仿宋_GB2312" w:cs="仿宋_GB2312" w:eastAsia="仿宋_GB2312"/>
                <w:sz w:val="24"/>
              </w:rPr>
              <w:t>(二)款项结算</w:t>
            </w:r>
          </w:p>
          <w:p>
            <w:pPr>
              <w:pStyle w:val="null3"/>
              <w:jc w:val="left"/>
            </w:pPr>
            <w:r>
              <w:rPr>
                <w:rFonts w:ascii="仿宋_GB2312" w:hAnsi="仿宋_GB2312" w:cs="仿宋_GB2312" w:eastAsia="仿宋_GB2312"/>
                <w:sz w:val="24"/>
              </w:rPr>
              <w:t>合同签订后，达到付款条件起10日内，支付合同总金额的25.00%；自合同签之日6个月后，达到付款条件起10日内，支付合同总金额的50.00%；验收合格后，达到付款条件起10日内，支付合同总金额的25.00%。</w:t>
            </w:r>
          </w:p>
          <w:p>
            <w:pPr>
              <w:pStyle w:val="null3"/>
              <w:jc w:val="left"/>
            </w:pPr>
            <w:r>
              <w:rPr>
                <w:rFonts w:ascii="仿宋_GB2312" w:hAnsi="仿宋_GB2312" w:cs="仿宋_GB2312" w:eastAsia="仿宋_GB2312"/>
                <w:sz w:val="24"/>
              </w:rPr>
              <w:t>五、质量验收标准或规范</w:t>
            </w:r>
          </w:p>
          <w:p>
            <w:pPr>
              <w:pStyle w:val="null3"/>
              <w:jc w:val="both"/>
            </w:pPr>
            <w:r>
              <w:rPr>
                <w:rFonts w:ascii="仿宋_GB2312" w:hAnsi="仿宋_GB2312" w:cs="仿宋_GB2312" w:eastAsia="仿宋_GB2312"/>
                <w:sz w:val="24"/>
              </w:rPr>
              <w:t>成果质量符合西安市自然资源和规划局的相关要求，并通过采购人组织的专家论证或评估会。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(一)须配置具有规划、建筑、地理信息、开发(系统、软件)专业背景的技术团队在指定地点服务。 (二)项目负责人及项目团队成员须具有丰富的设计方案审查相关经验。 (三)服务单位须具有软件开发及本地化服务能力，能够根据采购人的要求增加、修改智能审查软件功能。 (四)服务单位须具有现状建筑信息准确性的核查能力。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核标准：成果质量符合西安市自然资源和规划局的相关要求，并通过采购人组织的专家论证或评估会。验收办法：成交供应商提交项目所有的成果报告后，由采购人和成交供应商共同对项目进行整体验收。其内容包括是否按照采购人要求进行服务、是否在规定时间内服务完毕。 其他事项：1、服务商向采购人提供服务过程中的所有资料,以便采购人日后管理。2、验收依据 2.1磋商文件、磋商响应文件、澄清表（函）；2.2本合同及附件文本；2.3国家相应的标准、规范。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自合同签之日6个月后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（二）合同争议解决的方式：本合同在履行过程中发生的争议，由甲、乙双方当事人协商解决，协商不成的按下列第1种方式解决：1.提交西安仲裁委员会仲裁；2.依法向有管辖权的人民法院起诉。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需提供身份证复印件； 3.4.2（响应文件格式-标的清单）本项目服务范围：2025年度资源规划技术审查和公示牌制作服务项目；服务要求：符合采购文件有关技术、商务要求；服务标准：符合国家和省、市有关行业标准及采购人的有关规定。 3.4.3付款方式（支付约定）以磋商文件“第三章 磋商项目技术、服务、商务及其他要求-技术参数与性能指标-款项结算”为准。3.4.4.成交供应商需要提交响应文件正本壹份。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提供2025年1月至今已缴纳的至少三个月的纳税证明（时间以税款所属日期为准)，依法免税的单位应提供相关证明材料。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法定代表人授权委托书、被授权人身份证(法定代表人参加开标时,只需提供法定代表人身份证；被授权人参加开标时，须提供开标前三个月内任意一个月的基本养老保险参保缴费证明。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供应商须具有城乡规划编制甲级资质</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报价唯一，且没有高于采购预算或最高限价的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对本项目的解读清晰、明确，政策背景理解深度和准确性高，并对西安市国土空间规划、详细规划、各类专项规划等规划背景及现状建筑方案设计及审查流程和内容进行分析和评估得出西安市建筑工程方案（含历史遗留项目）技术审查核心要素的得6分； 2.对本项目的背景解读基本准确，西安市规划或政策分析研究情况的理解具有一定的深度和准确性的得4分； 3.对本项目背景的解读不够清晰、明确，西安市规划或政策分析研究情况的理解缺乏深度和准确性的得2分； 4.未提供或理解偏差过大得0分。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区间分值：0-24分 评审标准细化内容： 包括但不限于①建设用地合规性审查方案；②数据质检方案；③现状建筑审查方案；④建筑工程设计方案审查方案；⑤日照分析报告审查方案⑥公示牌电子小样制作方案等内容；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（1）各部分内容全面详细、阐述条理清晰详尽、符合本项目采购需求得24分； （2）评审标准细化内容每缺少一项内容扣4分； （3）评审标准细化内容缺失则不得分，每有一项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项目关键性技术、重点难点的解决方案</w:t>
            </w:r>
          </w:p>
        </w:tc>
        <w:tc>
          <w:tcPr>
            <w:tcW w:type="dxa" w:w="2492"/>
          </w:tcPr>
          <w:p>
            <w:pPr>
              <w:pStyle w:val="null3"/>
            </w:pPr>
            <w:r>
              <w:rPr>
                <w:rFonts w:ascii="仿宋_GB2312" w:hAnsi="仿宋_GB2312" w:cs="仿宋_GB2312" w:eastAsia="仿宋_GB2312"/>
              </w:rPr>
              <w:t>根据供应商对本项目的关键性技术、重点、难点的解决方案（包括但不限于对规划报建技术审查实施重、难点的认识、理解及分析，针对规划报建技术审查实施重、难点拟定的解决方案，智能化审查服务技术突破方案）的合理程度进行综合评审： 1.针对本项目关键技术、重点、难点的解决方案科学合理、完善、全面、具体、有亮点、可行性强，得6分； 2.针对本项目关键技术、重点、难点的解决方案全面但不具体、可行性一般，得4分； 3.针对本项目关键技术、重点、难点的解决方案不完善、可行性较差，得2分； 4.未提供或方案偏差过大得0分。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区间分值0-4分 评审标准细化内容：包括但不限于供应商针对本项目提出①进度计划安排；②进度计划保证措施。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根据供应商对本项目的项目质量方案（包括但不限于各项质量保障措施、服务承诺、针对本项目的特色服务说明）的合理程度进行综合评审； 1.针对项目全过程所制定质量保障体系完整，措施具有针对性和可操作性的且能够实施信息化审查的，得5分； 2.针对项目全过程所制定保障体系较完整，措施较具有针对性和可操作性的，得3分； 3.针对项目全过程所制定保障体系基本完整，措施基本合理、可行的，得1分。 4.未提供或方案偏差过大得0分。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智能化审查实施方案</w:t>
            </w:r>
          </w:p>
        </w:tc>
        <w:tc>
          <w:tcPr>
            <w:tcW w:type="dxa" w:w="2492"/>
          </w:tcPr>
          <w:p>
            <w:pPr>
              <w:pStyle w:val="null3"/>
            </w:pPr>
            <w:r>
              <w:rPr>
                <w:rFonts w:ascii="仿宋_GB2312" w:hAnsi="仿宋_GB2312" w:cs="仿宋_GB2312" w:eastAsia="仿宋_GB2312"/>
              </w:rPr>
              <w:t>对供应商智能化审查方案（包括现行系统、软件、平台互联互通）进行综合评审： 1.智能化审查目标清晰、机审流程合理可行、机审内容详实，人机分工明确，相关系统、平台、软件互联互通得5分； 2.智能化审查目标、流程和内容较为清晰和完整，人机分工相对明确得3分； 3.智能化审查目标、流程、内容不完整，可行性差得1分； 4.未提供或方案偏差过大得0分。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根据供应商对本项目的售后服务内容（包括不限于技术审查系统故障解决、审查软件升级、技术培训等）、保障措施等进行综合评审： 1.售后服务内容详实，保障措施具体、可行性强，得5分； 2.售后服务内容较完整，保障措施可行性一般，得3分； 3.售后服务内容不完整，保障措施可行性差，得1分； 4.未提供或方案偏差过大得0分。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项目总负责人</w:t>
            </w:r>
          </w:p>
        </w:tc>
        <w:tc>
          <w:tcPr>
            <w:tcW w:type="dxa" w:w="2492"/>
          </w:tcPr>
          <w:p>
            <w:pPr>
              <w:pStyle w:val="null3"/>
            </w:pPr>
            <w:r>
              <w:rPr>
                <w:rFonts w:ascii="仿宋_GB2312" w:hAnsi="仿宋_GB2312" w:cs="仿宋_GB2312" w:eastAsia="仿宋_GB2312"/>
              </w:rPr>
              <w:t>1、项目总负责人具有规划相关专业高级工程师的得3分，中级职称的得2分； 2、具有国家注册城乡规划师职业资格的得2分。评审依据：以证书复印件加盖公章为准。否则此项不得分。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数据负责人</w:t>
            </w:r>
          </w:p>
        </w:tc>
        <w:tc>
          <w:tcPr>
            <w:tcW w:type="dxa" w:w="2492"/>
          </w:tcPr>
          <w:p>
            <w:pPr>
              <w:pStyle w:val="null3"/>
            </w:pPr>
            <w:r>
              <w:rPr>
                <w:rFonts w:ascii="仿宋_GB2312" w:hAnsi="仿宋_GB2312" w:cs="仿宋_GB2312" w:eastAsia="仿宋_GB2312"/>
              </w:rPr>
              <w:t>1、数据负责人具有规划相关专业高级工程师的得3分，中级职称的得2分； 2、具有国家注册城乡规划师职业资格的得2分。评审依据：以证书复印件加盖公章为准。否则此项不得分。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拟投入项目团队人员配备</w:t>
            </w:r>
          </w:p>
        </w:tc>
        <w:tc>
          <w:tcPr>
            <w:tcW w:type="dxa" w:w="2492"/>
          </w:tcPr>
          <w:p>
            <w:pPr>
              <w:pStyle w:val="null3"/>
            </w:pPr>
            <w:r>
              <w:rPr>
                <w:rFonts w:ascii="仿宋_GB2312" w:hAnsi="仿宋_GB2312" w:cs="仿宋_GB2312" w:eastAsia="仿宋_GB2312"/>
              </w:rPr>
              <w:t>拟投入项目团队人员（项目总负责人、数据负责人除外）知识构架全面，专业性强，满足项目需求，分工明确、配置合理，科学合理，总体实力较强，有丰富的设计方案技术审查工作经验： 1、项目组成员每提供一名具有注册城乡规划师或一级注册建筑师职业资格的得1分，最高得3分。 2、项目组成员专业（以毕业证为准）涵盖城市规划或建筑学或土地资源管理或计算机科学与技术等相关专业，每提供一个涵盖上述专业的人员得1分，最高得7分。 评审依据：以证书复印件加盖公章为准。否则此项不得分。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供应商提供2021年11月至今类似项目业绩（包含但不限于建设工程方案技术审查(非咨询)类或国土空间规划成果技术审查类或国土空间规划编制类等）合同（以合同签订时间为准）；一个业绩得2分，最高得10分。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