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6B2900">
      <w:pPr>
        <w:pStyle w:val="7"/>
        <w:numPr>
          <w:ilvl w:val="0"/>
          <w:numId w:val="0"/>
        </w:numPr>
        <w:jc w:val="center"/>
        <w:outlineLvl w:val="1"/>
        <w:rPr>
          <w:rFonts w:hint="eastAsia" w:ascii="黑体" w:hAnsi="宋体" w:eastAsia="黑体"/>
          <w:sz w:val="44"/>
          <w:szCs w:val="44"/>
          <w:highlight w:val="none"/>
        </w:rPr>
      </w:pPr>
      <w:r>
        <w:rPr>
          <w:rFonts w:hint="eastAsia" w:ascii="黑体" w:hAnsi="宋体" w:eastAsia="黑体"/>
          <w:sz w:val="44"/>
          <w:szCs w:val="44"/>
          <w:highlight w:val="none"/>
        </w:rPr>
        <w:t>政府采购合同格式</w:t>
      </w:r>
    </w:p>
    <w:p w14:paraId="0CE94D1B">
      <w:pPr>
        <w:pStyle w:val="8"/>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合同编号： </w:t>
      </w:r>
    </w:p>
    <w:p w14:paraId="32406FAD">
      <w:pPr>
        <w:pStyle w:val="8"/>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签订地点： </w:t>
      </w:r>
    </w:p>
    <w:p w14:paraId="2D83F228">
      <w:pPr>
        <w:pStyle w:val="8"/>
        <w:spacing w:line="360" w:lineRule="auto"/>
        <w:ind w:firstLine="420"/>
        <w:rPr>
          <w:rFonts w:hint="eastAsia" w:ascii="宋体" w:hAnsi="宋体"/>
          <w:sz w:val="21"/>
          <w:szCs w:val="21"/>
          <w:highlight w:val="none"/>
        </w:rPr>
      </w:pPr>
      <w:r>
        <w:rPr>
          <w:rFonts w:hint="eastAsia" w:ascii="宋体" w:hAnsi="宋体"/>
          <w:sz w:val="21"/>
          <w:szCs w:val="21"/>
          <w:highlight w:val="none"/>
        </w:rPr>
        <w:t>签订时间:</w:t>
      </w:r>
    </w:p>
    <w:p w14:paraId="3EEFD96D">
      <w:pPr>
        <w:pStyle w:val="8"/>
        <w:spacing w:line="360" w:lineRule="auto"/>
        <w:ind w:firstLine="420"/>
        <w:rPr>
          <w:rFonts w:hint="eastAsia" w:ascii="宋体" w:hAnsi="宋体" w:eastAsiaTheme="minorEastAsia"/>
          <w:sz w:val="21"/>
          <w:szCs w:val="21"/>
          <w:highlight w:val="none"/>
          <w:lang w:eastAsia="zh-CN"/>
        </w:rPr>
      </w:pPr>
      <w:r>
        <w:rPr>
          <w:rFonts w:hint="eastAsia" w:ascii="宋体" w:hAnsi="宋体"/>
          <w:sz w:val="21"/>
          <w:szCs w:val="21"/>
          <w:highlight w:val="none"/>
        </w:rPr>
        <w:t>采购人（甲方）：</w:t>
      </w:r>
      <w:r>
        <w:rPr>
          <w:rFonts w:hint="eastAsia" w:ascii="宋体" w:hAnsi="宋体"/>
          <w:sz w:val="21"/>
          <w:szCs w:val="21"/>
          <w:highlight w:val="none"/>
          <w:lang w:eastAsia="zh-CN"/>
        </w:rPr>
        <w:t>西安市文化和旅游局</w:t>
      </w:r>
    </w:p>
    <w:p w14:paraId="78E833FC">
      <w:pPr>
        <w:pStyle w:val="8"/>
        <w:spacing w:line="360" w:lineRule="auto"/>
        <w:ind w:firstLine="420"/>
        <w:rPr>
          <w:rFonts w:hint="eastAsia" w:ascii="宋体" w:hAnsi="宋体"/>
          <w:sz w:val="21"/>
          <w:szCs w:val="21"/>
          <w:highlight w:val="none"/>
        </w:rPr>
      </w:pPr>
      <w:r>
        <w:rPr>
          <w:rFonts w:hint="eastAsia" w:ascii="宋体" w:hAnsi="宋体"/>
          <w:sz w:val="21"/>
          <w:szCs w:val="21"/>
          <w:highlight w:val="none"/>
        </w:rPr>
        <w:t>供应商（乙方）：</w:t>
      </w:r>
    </w:p>
    <w:p w14:paraId="085A0AFB">
      <w:pPr>
        <w:pStyle w:val="8"/>
        <w:ind w:firstLine="562"/>
        <w:rPr>
          <w:rFonts w:hint="eastAsia" w:ascii="仿宋_GB2312" w:hAnsi="宋体" w:eastAsia="仿宋_GB2312"/>
          <w:b/>
          <w:sz w:val="28"/>
          <w:szCs w:val="28"/>
          <w:highlight w:val="none"/>
        </w:rPr>
      </w:pPr>
    </w:p>
    <w:p w14:paraId="17482771">
      <w:pPr>
        <w:pStyle w:val="8"/>
        <w:spacing w:before="120" w:beforeLines="50" w:line="360" w:lineRule="auto"/>
        <w:ind w:firstLine="420"/>
        <w:rPr>
          <w:rFonts w:hint="eastAsia" w:ascii="宋体" w:hAnsi="宋体"/>
          <w:sz w:val="21"/>
          <w:szCs w:val="21"/>
          <w:highlight w:val="none"/>
        </w:rPr>
      </w:pPr>
      <w:r>
        <w:rPr>
          <w:rFonts w:hint="eastAsia" w:ascii="宋体" w:hAnsi="宋体"/>
          <w:sz w:val="21"/>
          <w:szCs w:val="21"/>
          <w:highlight w:val="none"/>
        </w:rPr>
        <w:t>根据《中华人民共和国政府采购法》及实施条例、《中华人民共和国民法典》和</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r>
        <w:rPr>
          <w:rFonts w:hint="eastAsia" w:ascii="宋体" w:hAnsi="宋体"/>
          <w:sz w:val="21"/>
          <w:szCs w:val="21"/>
          <w:highlight w:val="none"/>
          <w:u w:val="single"/>
          <w:lang w:eastAsia="zh-CN"/>
        </w:rPr>
        <w:t>编制《秦岭终南山文化公园规划》</w:t>
      </w:r>
      <w:r>
        <w:rPr>
          <w:rFonts w:hint="eastAsia" w:ascii="宋体" w:hAnsi="宋体"/>
          <w:sz w:val="21"/>
          <w:szCs w:val="21"/>
          <w:highlight w:val="none"/>
        </w:rPr>
        <w:t>（采购项目编号：</w:t>
      </w:r>
      <w:r>
        <w:rPr>
          <w:rFonts w:hint="eastAsia" w:ascii="宋体" w:hAnsi="宋体"/>
          <w:sz w:val="21"/>
          <w:szCs w:val="21"/>
          <w:highlight w:val="none"/>
          <w:u w:val="single"/>
          <w:lang w:val="en-US" w:eastAsia="zh-CN"/>
        </w:rPr>
        <w:t>SXZH-2025-144</w:t>
      </w:r>
      <w:r>
        <w:rPr>
          <w:rFonts w:hint="eastAsia" w:ascii="宋体" w:hAnsi="宋体"/>
          <w:sz w:val="21"/>
          <w:szCs w:val="21"/>
          <w:highlight w:val="none"/>
        </w:rPr>
        <w:t>）的采购文件、响应文</w:t>
      </w:r>
      <w:bookmarkStart w:id="52" w:name="_GoBack"/>
      <w:bookmarkEnd w:id="52"/>
      <w:r>
        <w:rPr>
          <w:rFonts w:hint="eastAsia" w:ascii="宋体" w:hAnsi="宋体"/>
          <w:sz w:val="21"/>
          <w:szCs w:val="21"/>
          <w:highlight w:val="none"/>
        </w:rPr>
        <w:t>件等有关规定，为确保甲方采购项目的顺利实施，甲、乙双方在平等自愿原则下签订本合同，并共同遵守如下条款：</w:t>
      </w:r>
    </w:p>
    <w:p w14:paraId="14C3EA95">
      <w:pPr>
        <w:numPr>
          <w:ilvl w:val="0"/>
          <w:numId w:val="1"/>
        </w:numPr>
        <w:tabs>
          <w:tab w:val="left" w:pos="1379"/>
          <w:tab w:val="clear" w:pos="1521"/>
        </w:tabs>
        <w:spacing w:before="120" w:beforeLines="50" w:after="120" w:afterLines="50" w:line="360" w:lineRule="auto"/>
        <w:ind w:left="1519" w:hanging="1094"/>
        <w:rPr>
          <w:rFonts w:hint="eastAsia" w:ascii="宋体" w:hAnsi="宋体"/>
          <w:b/>
          <w:sz w:val="30"/>
          <w:szCs w:val="30"/>
          <w:highlight w:val="none"/>
        </w:rPr>
      </w:pPr>
      <w:r>
        <w:rPr>
          <w:rFonts w:hint="eastAsia" w:ascii="宋体" w:hAnsi="宋体"/>
          <w:b/>
          <w:sz w:val="30"/>
          <w:szCs w:val="30"/>
          <w:highlight w:val="none"/>
        </w:rPr>
        <w:t>项目基本情况</w:t>
      </w:r>
    </w:p>
    <w:p w14:paraId="30C7B990">
      <w:pPr>
        <w:spacing w:line="360" w:lineRule="auto"/>
        <w:ind w:firstLine="63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涉及西安市行政区域内的周至、鄠邑、长安、灞桥、蓝田、临潼等4区2县，范围原则上以西安市秦岭生态环境保护区域为主体，重点是其北麓的文化资源富集区，同时对半坡遗址等能够共同彰显中华文明精神标识的区域进行适度延伸、囊括。</w:t>
      </w:r>
    </w:p>
    <w:p w14:paraId="2F1B4AEE">
      <w:pPr>
        <w:numPr>
          <w:ilvl w:val="0"/>
          <w:numId w:val="1"/>
        </w:numPr>
        <w:tabs>
          <w:tab w:val="left" w:pos="1379"/>
          <w:tab w:val="clear" w:pos="1521"/>
        </w:tabs>
        <w:spacing w:before="120" w:beforeLines="50" w:after="120" w:afterLines="50" w:line="360" w:lineRule="auto"/>
        <w:ind w:left="1519" w:hanging="1094"/>
        <w:rPr>
          <w:rFonts w:ascii="宋体" w:hAnsi="宋体"/>
          <w:b/>
          <w:sz w:val="30"/>
          <w:szCs w:val="30"/>
          <w:highlight w:val="none"/>
        </w:rPr>
      </w:pPr>
      <w:r>
        <w:rPr>
          <w:rFonts w:hint="eastAsia" w:ascii="宋体" w:hAnsi="宋体"/>
          <w:b/>
          <w:sz w:val="30"/>
          <w:szCs w:val="30"/>
          <w:highlight w:val="none"/>
        </w:rPr>
        <w:t>合同期限</w:t>
      </w:r>
    </w:p>
    <w:p w14:paraId="0F89DFDA">
      <w:pPr>
        <w:spacing w:line="360" w:lineRule="auto"/>
        <w:ind w:firstLine="420" w:firstLineChars="200"/>
        <w:rPr>
          <w:rFonts w:hint="default" w:ascii="宋体" w:hAnsi="宋体" w:eastAsiaTheme="minorEastAsia"/>
          <w:szCs w:val="21"/>
          <w:highlight w:val="none"/>
          <w:lang w:val="en-US" w:eastAsia="zh-CN"/>
        </w:rPr>
      </w:pPr>
      <w:r>
        <w:rPr>
          <w:rFonts w:hint="eastAsia" w:ascii="宋体" w:hAnsi="宋体"/>
          <w:szCs w:val="21"/>
          <w:highlight w:val="none"/>
          <w:u w:val="single"/>
          <w:lang w:val="en-US" w:eastAsia="zh-CN"/>
        </w:rPr>
        <w:t>自合同签订之日起至2026年12月31日止。</w:t>
      </w:r>
    </w:p>
    <w:p w14:paraId="1688BA53">
      <w:pPr>
        <w:numPr>
          <w:ilvl w:val="0"/>
          <w:numId w:val="1"/>
        </w:numPr>
        <w:tabs>
          <w:tab w:val="left" w:pos="1379"/>
          <w:tab w:val="clear" w:pos="1521"/>
        </w:tabs>
        <w:spacing w:before="120" w:beforeLines="50" w:after="120" w:afterLines="50" w:line="360" w:lineRule="auto"/>
        <w:ind w:left="1519" w:hanging="1094"/>
        <w:rPr>
          <w:rFonts w:hint="eastAsia" w:ascii="宋体" w:hAnsi="宋体"/>
          <w:b/>
          <w:sz w:val="30"/>
          <w:szCs w:val="30"/>
          <w:highlight w:val="none"/>
        </w:rPr>
      </w:pPr>
      <w:bookmarkStart w:id="0" w:name="_Toc225654644"/>
      <w:bookmarkStart w:id="1" w:name="_Toc185395249"/>
      <w:bookmarkStart w:id="2" w:name="_Toc241833903"/>
      <w:bookmarkStart w:id="3" w:name="_Toc282696226"/>
      <w:bookmarkStart w:id="4" w:name="_Toc211911348"/>
      <w:bookmarkStart w:id="5" w:name="_Toc225244852"/>
      <w:bookmarkStart w:id="6" w:name="_Toc251768862"/>
      <w:bookmarkStart w:id="7" w:name="_Toc232492928"/>
      <w:bookmarkStart w:id="8" w:name="_Toc283019214"/>
      <w:bookmarkStart w:id="9" w:name="_Toc211854449"/>
      <w:bookmarkStart w:id="10" w:name="_Toc239568418"/>
      <w:bookmarkStart w:id="11" w:name="_Toc225670751"/>
      <w:bookmarkStart w:id="12" w:name="_Toc237145406"/>
      <w:bookmarkStart w:id="13" w:name="_Toc212019594"/>
      <w:bookmarkStart w:id="14" w:name="_Toc238984975"/>
      <w:bookmarkStart w:id="15" w:name="_Toc239233914"/>
      <w:bookmarkStart w:id="16" w:name="_Toc286993786"/>
      <w:bookmarkStart w:id="17" w:name="_Toc247334841"/>
      <w:r>
        <w:rPr>
          <w:rFonts w:hint="eastAsia" w:ascii="宋体" w:hAnsi="宋体"/>
          <w:b/>
          <w:sz w:val="30"/>
          <w:szCs w:val="30"/>
          <w:highlight w:val="none"/>
        </w:rPr>
        <w:t>服务内容与质量标准</w:t>
      </w:r>
    </w:p>
    <w:p w14:paraId="22897A70">
      <w:pPr>
        <w:spacing w:line="360" w:lineRule="auto"/>
        <w:ind w:firstLine="630"/>
        <w:rPr>
          <w:rFonts w:hint="eastAsia" w:ascii="宋体" w:hAnsi="宋体"/>
          <w:szCs w:val="21"/>
          <w:highlight w:val="none"/>
        </w:rPr>
      </w:pPr>
      <w:r>
        <w:rPr>
          <w:rFonts w:hint="eastAsia" w:ascii="宋体" w:hAnsi="宋体"/>
          <w:szCs w:val="21"/>
          <w:highlight w:val="none"/>
          <w:lang w:val="en-US" w:eastAsia="zh-CN"/>
        </w:rPr>
        <w:t>一、</w:t>
      </w:r>
      <w:r>
        <w:rPr>
          <w:rFonts w:hint="eastAsia" w:ascii="宋体" w:hAnsi="宋体"/>
          <w:szCs w:val="21"/>
          <w:highlight w:val="none"/>
        </w:rPr>
        <w:t>采取实地勘察、数据比对等方式，摸清秦岭终南山各类文物、景区、非遗等资源底数，利用无人机航拍、地理信息（GIS）等技术记录、梳理资源信息，完成基础调查，在次基础上统筹衔接秦岭国家公园建设、西安市秦岭生态环境保护、秦岭北麓（西安段）历史文化资源保护等相关要求及有关规划成果，参照国家文化公园规划编制体例与形式，编制完成《秦岭终南山文化公园规划》，主要内容如下：</w:t>
      </w:r>
    </w:p>
    <w:p w14:paraId="031FE334">
      <w:pPr>
        <w:spacing w:line="360" w:lineRule="auto"/>
        <w:ind w:firstLine="630"/>
        <w:rPr>
          <w:rFonts w:hint="eastAsia" w:ascii="宋体" w:hAnsi="宋体"/>
          <w:szCs w:val="21"/>
          <w:highlight w:val="none"/>
        </w:rPr>
      </w:pPr>
      <w:r>
        <w:rPr>
          <w:rFonts w:hint="eastAsia" w:ascii="宋体" w:hAnsi="宋体"/>
          <w:szCs w:val="21"/>
          <w:highlight w:val="none"/>
        </w:rPr>
        <w:t>1、背景研究。梳理关于文化公园建设的背景、相关政策文件，明确本次规划研究方向；明确国家文化公园建设的相关依据，包括法律法规、相关规划等；分析规划任务要点和重点，确立工作基本框架。</w:t>
      </w:r>
    </w:p>
    <w:p w14:paraId="29A6EC39">
      <w:pPr>
        <w:spacing w:line="360" w:lineRule="auto"/>
        <w:ind w:firstLine="630"/>
        <w:rPr>
          <w:rFonts w:hint="eastAsia" w:ascii="宋体" w:hAnsi="宋体"/>
          <w:szCs w:val="21"/>
          <w:highlight w:val="none"/>
        </w:rPr>
      </w:pPr>
      <w:r>
        <w:rPr>
          <w:rFonts w:hint="eastAsia" w:ascii="宋体" w:hAnsi="宋体"/>
          <w:szCs w:val="21"/>
          <w:highlight w:val="none"/>
        </w:rPr>
        <w:t>2、价值研判。对秦岭终南山区域历史沿革、演变历程进行梳理分析，从较高的站位深刻理解、认知秦岭终南山文化内涵，系统研判并总结其核心价值，为后续文化内涵的保护传承奠定基础。</w:t>
      </w:r>
    </w:p>
    <w:p w14:paraId="55C38C76">
      <w:pPr>
        <w:spacing w:line="360" w:lineRule="auto"/>
        <w:ind w:firstLine="630"/>
        <w:rPr>
          <w:rFonts w:hint="eastAsia" w:ascii="宋体" w:hAnsi="宋体"/>
          <w:szCs w:val="21"/>
          <w:highlight w:val="none"/>
        </w:rPr>
      </w:pPr>
      <w:r>
        <w:rPr>
          <w:rFonts w:hint="eastAsia" w:ascii="宋体" w:hAnsi="宋体"/>
          <w:szCs w:val="21"/>
          <w:highlight w:val="none"/>
        </w:rPr>
        <w:t>3、现状分析。对秦岭终南山区资源禀赋进行全面调查梳理，分析区域文化遗产分布情况、类型及保护利用现状，包括A级景区、文化场馆、自然资源、人文资源等。同时基于现状研究，研判文化公园建设基础与现存问题，明晰规划重点和方向。</w:t>
      </w:r>
    </w:p>
    <w:p w14:paraId="3469FAF0">
      <w:pPr>
        <w:spacing w:line="360" w:lineRule="auto"/>
        <w:ind w:firstLine="630"/>
        <w:rPr>
          <w:rFonts w:hint="eastAsia" w:ascii="宋体" w:hAnsi="宋体"/>
          <w:szCs w:val="21"/>
          <w:highlight w:val="none"/>
        </w:rPr>
      </w:pPr>
      <w:r>
        <w:rPr>
          <w:rFonts w:hint="eastAsia" w:ascii="宋体" w:hAnsi="宋体"/>
          <w:szCs w:val="21"/>
          <w:highlight w:val="none"/>
        </w:rPr>
        <w:t>4、制定目标。结合价值认知与基础研判等前期分析成果，基于全国、陕西省、西安市相关政策文件要求，提出站位高远、科学合理、针对性强的的文化公园建设定位目标。</w:t>
      </w:r>
    </w:p>
    <w:p w14:paraId="762C0E96">
      <w:pPr>
        <w:spacing w:line="360" w:lineRule="auto"/>
        <w:ind w:firstLine="630"/>
        <w:rPr>
          <w:rFonts w:hint="eastAsia" w:ascii="宋体" w:hAnsi="宋体"/>
          <w:szCs w:val="21"/>
          <w:highlight w:val="none"/>
        </w:rPr>
      </w:pPr>
      <w:r>
        <w:rPr>
          <w:rFonts w:hint="eastAsia" w:ascii="宋体" w:hAnsi="宋体"/>
          <w:szCs w:val="21"/>
          <w:highlight w:val="none"/>
        </w:rPr>
        <w:t>5、确定总体布局。确定终南山文化公园总体布局方案，拟定主体功能区及规划要求，明晰发展重点并提出建设指引。同时，对重点保护传承片区深化研究，结合片区资源禀赋和建设基础，提出主题形象定位、建设项目清单、建设实施细则等。</w:t>
      </w:r>
    </w:p>
    <w:p w14:paraId="0CE1168C">
      <w:pPr>
        <w:spacing w:line="360" w:lineRule="auto"/>
        <w:ind w:firstLine="630"/>
        <w:rPr>
          <w:rFonts w:hint="eastAsia" w:ascii="宋体" w:hAnsi="宋体"/>
          <w:szCs w:val="21"/>
          <w:highlight w:val="none"/>
        </w:rPr>
      </w:pPr>
      <w:r>
        <w:rPr>
          <w:rFonts w:hint="eastAsia" w:ascii="宋体" w:hAnsi="宋体"/>
          <w:szCs w:val="21"/>
          <w:highlight w:val="none"/>
        </w:rPr>
        <w:t>6、配套工程。完善终南山文化公园工程配套，从标识系统建设、交通体系优化、通信设施完善、智慧旅游发展、品牌形象塑造方面提出支撑文化公园建设、文旅融合发展等方面的措施建议。</w:t>
      </w:r>
    </w:p>
    <w:p w14:paraId="4038B569">
      <w:pPr>
        <w:spacing w:line="360" w:lineRule="auto"/>
        <w:ind w:firstLine="630"/>
        <w:rPr>
          <w:rFonts w:hint="eastAsia" w:ascii="宋体" w:hAnsi="宋体"/>
          <w:szCs w:val="21"/>
          <w:highlight w:val="none"/>
        </w:rPr>
      </w:pPr>
      <w:r>
        <w:rPr>
          <w:rFonts w:hint="eastAsia" w:ascii="宋体" w:hAnsi="宋体"/>
          <w:szCs w:val="21"/>
          <w:highlight w:val="none"/>
        </w:rPr>
        <w:t>7、实施计划与保障。结合相关工作，加强规划衔接，制定秦岭终南山文化公园分期实施计划，提出组织领导、职责分工、政策保障、宣传推广等方面的实施保障建议。</w:t>
      </w:r>
    </w:p>
    <w:p w14:paraId="3FC34C85">
      <w:pPr>
        <w:spacing w:line="360" w:lineRule="auto"/>
        <w:ind w:firstLine="630"/>
        <w:rPr>
          <w:rFonts w:hint="eastAsia" w:ascii="宋体" w:hAnsi="宋体"/>
          <w:szCs w:val="21"/>
          <w:highlight w:val="none"/>
        </w:rPr>
      </w:pPr>
      <w:r>
        <w:rPr>
          <w:rFonts w:hint="eastAsia" w:ascii="宋体" w:hAnsi="宋体"/>
          <w:szCs w:val="21"/>
          <w:highlight w:val="none"/>
          <w:lang w:val="en-US" w:eastAsia="zh-CN"/>
        </w:rPr>
        <w:t>二</w:t>
      </w:r>
      <w:r>
        <w:rPr>
          <w:rFonts w:hint="eastAsia" w:ascii="宋体" w:hAnsi="宋体"/>
          <w:szCs w:val="21"/>
          <w:highlight w:val="none"/>
        </w:rPr>
        <w:t>、服务要求</w:t>
      </w:r>
    </w:p>
    <w:p w14:paraId="591756EF">
      <w:pPr>
        <w:spacing w:line="360" w:lineRule="auto"/>
        <w:ind w:firstLine="630"/>
        <w:rPr>
          <w:rFonts w:hint="eastAsia" w:ascii="宋体" w:hAnsi="宋体"/>
          <w:szCs w:val="21"/>
          <w:highlight w:val="none"/>
        </w:rPr>
      </w:pPr>
      <w:r>
        <w:rPr>
          <w:rFonts w:hint="eastAsia" w:ascii="宋体" w:hAnsi="宋体"/>
          <w:szCs w:val="21"/>
          <w:highlight w:val="none"/>
        </w:rPr>
        <w:t>1、服务商须精心组建项目团队，确定项目负责人，并对项目团队的政治素质和业务素质负责。</w:t>
      </w:r>
    </w:p>
    <w:p w14:paraId="2C462939">
      <w:pPr>
        <w:spacing w:line="360" w:lineRule="auto"/>
        <w:ind w:firstLine="630"/>
        <w:rPr>
          <w:rFonts w:hint="eastAsia" w:ascii="宋体" w:hAnsi="宋体"/>
          <w:szCs w:val="21"/>
          <w:highlight w:val="none"/>
        </w:rPr>
      </w:pPr>
      <w:r>
        <w:rPr>
          <w:rFonts w:hint="eastAsia" w:ascii="宋体" w:hAnsi="宋体"/>
          <w:szCs w:val="21"/>
          <w:highlight w:val="none"/>
        </w:rPr>
        <w:t>2、项目组成员须有较强的组织和协调能力，具有较高的理论素养和分析解决问题的能力。</w:t>
      </w:r>
    </w:p>
    <w:p w14:paraId="0FC682C9">
      <w:pPr>
        <w:spacing w:line="360" w:lineRule="auto"/>
        <w:ind w:firstLine="630"/>
        <w:rPr>
          <w:rFonts w:hint="eastAsia" w:ascii="宋体" w:hAnsi="宋体"/>
          <w:szCs w:val="21"/>
          <w:highlight w:val="none"/>
        </w:rPr>
      </w:pPr>
      <w:r>
        <w:rPr>
          <w:rFonts w:hint="eastAsia" w:ascii="宋体" w:hAnsi="宋体"/>
          <w:szCs w:val="21"/>
          <w:highlight w:val="none"/>
        </w:rPr>
        <w:t>3、项目团队成员应当熟悉旅游规划、历史文化保护规划等相关规划编制及规范标准，项目实施应紧贴上位政策要求。</w:t>
      </w:r>
    </w:p>
    <w:p w14:paraId="2998D41B">
      <w:pPr>
        <w:spacing w:line="360" w:lineRule="auto"/>
        <w:ind w:firstLine="630"/>
        <w:rPr>
          <w:rFonts w:hint="eastAsia" w:ascii="宋体" w:hAnsi="宋体"/>
          <w:szCs w:val="21"/>
          <w:highlight w:val="none"/>
        </w:rPr>
      </w:pPr>
      <w:r>
        <w:rPr>
          <w:rFonts w:hint="eastAsia" w:ascii="宋体" w:hAnsi="宋体"/>
          <w:szCs w:val="21"/>
          <w:highlight w:val="none"/>
          <w:lang w:val="en-US" w:eastAsia="zh-CN"/>
        </w:rPr>
        <w:t>三</w:t>
      </w:r>
      <w:r>
        <w:rPr>
          <w:rFonts w:hint="eastAsia" w:ascii="宋体" w:hAnsi="宋体"/>
          <w:szCs w:val="21"/>
          <w:highlight w:val="none"/>
        </w:rPr>
        <w:t>、进度要求</w:t>
      </w:r>
    </w:p>
    <w:p w14:paraId="04909E32">
      <w:pPr>
        <w:spacing w:line="360" w:lineRule="auto"/>
        <w:ind w:firstLine="630"/>
        <w:rPr>
          <w:rFonts w:hint="eastAsia" w:ascii="宋体" w:hAnsi="宋体"/>
          <w:szCs w:val="21"/>
          <w:highlight w:val="none"/>
        </w:rPr>
      </w:pPr>
      <w:r>
        <w:rPr>
          <w:rFonts w:hint="eastAsia" w:ascii="宋体" w:hAnsi="宋体"/>
          <w:szCs w:val="21"/>
          <w:highlight w:val="none"/>
        </w:rPr>
        <w:t>规划编制工作时间为2026年，共分为两个阶段：</w:t>
      </w:r>
    </w:p>
    <w:p w14:paraId="2F1AF0C5">
      <w:pPr>
        <w:spacing w:line="360" w:lineRule="auto"/>
        <w:ind w:firstLine="630"/>
        <w:rPr>
          <w:rFonts w:hint="eastAsia" w:ascii="宋体" w:hAnsi="宋体"/>
          <w:szCs w:val="21"/>
          <w:highlight w:val="none"/>
        </w:rPr>
      </w:pPr>
      <w:r>
        <w:rPr>
          <w:rFonts w:hint="eastAsia" w:ascii="宋体" w:hAnsi="宋体"/>
          <w:szCs w:val="21"/>
          <w:highlight w:val="none"/>
        </w:rPr>
        <w:t>第一阶段：规划成果编制阶段（2026年6月底前）</w:t>
      </w:r>
    </w:p>
    <w:p w14:paraId="5F7D3E78">
      <w:pPr>
        <w:spacing w:line="360" w:lineRule="auto"/>
        <w:ind w:firstLine="630"/>
        <w:rPr>
          <w:rFonts w:hint="eastAsia" w:ascii="宋体" w:hAnsi="宋体"/>
          <w:szCs w:val="21"/>
          <w:highlight w:val="none"/>
        </w:rPr>
      </w:pPr>
      <w:r>
        <w:rPr>
          <w:rFonts w:hint="eastAsia" w:ascii="宋体" w:hAnsi="宋体"/>
          <w:szCs w:val="21"/>
          <w:highlight w:val="none"/>
        </w:rPr>
        <w:t>主要任务：开展实地调查、前期技术研究、区县对接等工作，根据研究结论展开内业整理及成果制作，编制形成《秦岭终南山文化公园规划》初步成果。</w:t>
      </w:r>
    </w:p>
    <w:p w14:paraId="6A870DB1">
      <w:pPr>
        <w:spacing w:line="360" w:lineRule="auto"/>
        <w:ind w:firstLine="630"/>
        <w:rPr>
          <w:rFonts w:hint="eastAsia" w:ascii="宋体" w:hAnsi="宋体"/>
          <w:szCs w:val="21"/>
          <w:highlight w:val="none"/>
        </w:rPr>
      </w:pPr>
      <w:r>
        <w:rPr>
          <w:rFonts w:hint="eastAsia" w:ascii="宋体" w:hAnsi="宋体"/>
          <w:szCs w:val="21"/>
          <w:highlight w:val="none"/>
        </w:rPr>
        <w:t>第二阶段：成果修改报审阶段（2026年12月底前）</w:t>
      </w:r>
    </w:p>
    <w:p w14:paraId="174649FC">
      <w:pPr>
        <w:spacing w:line="360" w:lineRule="auto"/>
        <w:ind w:firstLine="630"/>
        <w:rPr>
          <w:rFonts w:hint="eastAsia" w:ascii="宋体" w:hAnsi="宋体"/>
          <w:szCs w:val="21"/>
          <w:highlight w:val="none"/>
        </w:rPr>
      </w:pPr>
      <w:r>
        <w:rPr>
          <w:rFonts w:hint="eastAsia" w:ascii="宋体" w:hAnsi="宋体"/>
          <w:szCs w:val="21"/>
          <w:highlight w:val="none"/>
        </w:rPr>
        <w:t>主要任务：按程序进行技术评审并按评审意见完善规划成果，完成工作总结和最终成果验收。</w:t>
      </w:r>
    </w:p>
    <w:p w14:paraId="3B3163F7">
      <w:pPr>
        <w:numPr>
          <w:ilvl w:val="0"/>
          <w:numId w:val="2"/>
        </w:numPr>
        <w:spacing w:line="360" w:lineRule="auto"/>
        <w:ind w:firstLine="630"/>
        <w:rPr>
          <w:rFonts w:hint="eastAsia" w:ascii="宋体" w:hAnsi="宋体"/>
          <w:szCs w:val="21"/>
          <w:highlight w:val="none"/>
          <w:lang w:val="en-US" w:eastAsia="zh-CN"/>
        </w:rPr>
      </w:pPr>
      <w:r>
        <w:rPr>
          <w:rFonts w:hint="eastAsia" w:ascii="宋体" w:hAnsi="宋体"/>
          <w:szCs w:val="21"/>
          <w:highlight w:val="none"/>
          <w:lang w:val="en-US" w:eastAsia="zh-CN"/>
        </w:rPr>
        <w:t>质量要求</w:t>
      </w:r>
    </w:p>
    <w:p w14:paraId="11F0E89D">
      <w:pPr>
        <w:spacing w:line="360" w:lineRule="auto"/>
        <w:ind w:firstLine="630"/>
        <w:rPr>
          <w:rFonts w:hint="default" w:ascii="宋体" w:hAnsi="宋体"/>
          <w:szCs w:val="21"/>
          <w:highlight w:val="none"/>
          <w:lang w:val="en-US" w:eastAsia="zh-CN"/>
        </w:rPr>
      </w:pPr>
      <w:r>
        <w:rPr>
          <w:rFonts w:hint="eastAsia" w:ascii="宋体" w:hAnsi="宋体"/>
          <w:szCs w:val="21"/>
          <w:highlight w:val="none"/>
        </w:rPr>
        <w:t>成果质量须符合国家、陕西省、西安市相关法律法规及政策文件要求。</w:t>
      </w:r>
    </w:p>
    <w:p w14:paraId="2D763AE6">
      <w:pPr>
        <w:numPr>
          <w:ilvl w:val="0"/>
          <w:numId w:val="1"/>
        </w:numPr>
        <w:tabs>
          <w:tab w:val="left" w:pos="1379"/>
          <w:tab w:val="clear" w:pos="1521"/>
        </w:tabs>
        <w:spacing w:before="120" w:beforeLines="50" w:after="120" w:afterLines="50" w:line="360" w:lineRule="auto"/>
        <w:ind w:left="1661" w:hanging="1094"/>
        <w:rPr>
          <w:rFonts w:hint="eastAsia" w:ascii="宋体" w:hAnsi="宋体"/>
          <w:b/>
          <w:sz w:val="30"/>
          <w:szCs w:val="30"/>
          <w:highlight w:val="none"/>
        </w:rPr>
      </w:pPr>
      <w:r>
        <w:rPr>
          <w:rFonts w:hint="eastAsia" w:ascii="宋体" w:hAnsi="宋体"/>
          <w:b/>
          <w:sz w:val="30"/>
          <w:szCs w:val="30"/>
          <w:highlight w:val="none"/>
        </w:rPr>
        <w:t>服务费用</w:t>
      </w:r>
    </w:p>
    <w:p w14:paraId="44B49C5D">
      <w:pPr>
        <w:pStyle w:val="3"/>
        <w:spacing w:before="0" w:after="0" w:line="360" w:lineRule="auto"/>
        <w:ind w:firstLine="411" w:firstLineChars="196"/>
        <w:rPr>
          <w:rFonts w:hint="eastAsia" w:ascii="宋体" w:hAnsi="宋体" w:eastAsia="宋体"/>
          <w:b w:val="0"/>
          <w:sz w:val="21"/>
          <w:szCs w:val="21"/>
          <w:highlight w:val="none"/>
        </w:rPr>
      </w:pPr>
      <w:r>
        <w:rPr>
          <w:rFonts w:hint="eastAsia" w:ascii="宋体" w:hAnsi="宋体" w:eastAsia="宋体"/>
          <w:b w:val="0"/>
          <w:sz w:val="21"/>
          <w:szCs w:val="21"/>
          <w:highlight w:val="none"/>
        </w:rPr>
        <w:t xml:space="preserve">  1.服务总费用为人民币（大写）：</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元， ￥</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w:t>
      </w:r>
    </w:p>
    <w:p w14:paraId="61DC0DF4">
      <w:pPr>
        <w:spacing w:line="360" w:lineRule="auto"/>
        <w:ind w:firstLine="411" w:firstLineChars="196"/>
        <w:rPr>
          <w:rFonts w:hint="eastAsia" w:ascii="宋体" w:hAnsi="宋体"/>
          <w:szCs w:val="21"/>
          <w:highlight w:val="none"/>
        </w:rPr>
      </w:pPr>
      <w:r>
        <w:rPr>
          <w:rFonts w:hint="eastAsia" w:ascii="宋体" w:hAnsi="宋体"/>
          <w:szCs w:val="21"/>
          <w:highlight w:val="none"/>
        </w:rPr>
        <w:t xml:space="preserve">  2.本项目服务费用由以下组成：</w:t>
      </w:r>
    </w:p>
    <w:p w14:paraId="3EC880D4">
      <w:pPr>
        <w:spacing w:line="360" w:lineRule="auto"/>
        <w:ind w:firstLine="420" w:firstLineChars="200"/>
        <w:rPr>
          <w:rFonts w:hint="eastAsia" w:ascii="宋体" w:hAnsi="宋体"/>
          <w:szCs w:val="21"/>
          <w:highlight w:val="none"/>
        </w:rPr>
      </w:pPr>
      <w:r>
        <w:rPr>
          <w:rFonts w:hint="eastAsia" w:ascii="宋体" w:hAnsi="宋体"/>
          <w:szCs w:val="21"/>
          <w:highlight w:val="none"/>
        </w:rPr>
        <w:t xml:space="preserve">  （1）</w:t>
      </w:r>
      <w:r>
        <w:rPr>
          <w:rFonts w:hint="eastAsia" w:ascii="宋体" w:hAnsi="宋体"/>
          <w:color w:val="000000"/>
          <w:szCs w:val="21"/>
          <w:highlight w:val="none"/>
        </w:rPr>
        <w:t>XX</w:t>
      </w:r>
      <w:r>
        <w:rPr>
          <w:rFonts w:hint="eastAsia" w:ascii="宋体" w:hAnsi="宋体"/>
          <w:szCs w:val="21"/>
          <w:highlight w:val="none"/>
        </w:rPr>
        <w:t>万元；</w:t>
      </w:r>
    </w:p>
    <w:p w14:paraId="00A13AF0">
      <w:pPr>
        <w:spacing w:line="360" w:lineRule="auto"/>
        <w:ind w:firstLine="420" w:firstLineChars="200"/>
        <w:rPr>
          <w:rFonts w:hint="eastAsia" w:ascii="宋体" w:hAnsi="宋体"/>
          <w:szCs w:val="21"/>
          <w:highlight w:val="none"/>
        </w:rPr>
      </w:pPr>
      <w:r>
        <w:rPr>
          <w:rFonts w:hint="eastAsia" w:ascii="宋体" w:hAnsi="宋体"/>
          <w:szCs w:val="21"/>
          <w:highlight w:val="none"/>
        </w:rPr>
        <w:t xml:space="preserve">  （2）</w:t>
      </w:r>
      <w:r>
        <w:rPr>
          <w:rFonts w:hint="eastAsia" w:ascii="宋体" w:hAnsi="宋体"/>
          <w:color w:val="000000"/>
          <w:szCs w:val="21"/>
          <w:highlight w:val="none"/>
        </w:rPr>
        <w:t>XX</w:t>
      </w:r>
      <w:r>
        <w:rPr>
          <w:rFonts w:hint="eastAsia" w:ascii="宋体" w:hAnsi="宋体"/>
          <w:szCs w:val="21"/>
          <w:highlight w:val="none"/>
        </w:rPr>
        <w:t>万元；</w:t>
      </w:r>
    </w:p>
    <w:p w14:paraId="5E5CDF7D">
      <w:pPr>
        <w:spacing w:line="360" w:lineRule="auto"/>
        <w:ind w:firstLine="420" w:firstLineChars="200"/>
        <w:rPr>
          <w:rFonts w:hint="eastAsia" w:ascii="宋体" w:hAnsi="宋体"/>
          <w:szCs w:val="21"/>
          <w:highlight w:val="none"/>
        </w:rPr>
      </w:pPr>
      <w:r>
        <w:rPr>
          <w:rFonts w:hint="eastAsia" w:ascii="宋体" w:hAnsi="宋体"/>
          <w:szCs w:val="21"/>
          <w:highlight w:val="none"/>
        </w:rPr>
        <w:t xml:space="preserve">  （3）</w:t>
      </w:r>
      <w:r>
        <w:rPr>
          <w:rFonts w:hint="eastAsia" w:ascii="宋体" w:hAnsi="宋体"/>
          <w:color w:val="000000"/>
          <w:szCs w:val="21"/>
          <w:highlight w:val="none"/>
        </w:rPr>
        <w:t>XX</w:t>
      </w:r>
      <w:r>
        <w:rPr>
          <w:rFonts w:hint="eastAsia" w:ascii="宋体" w:hAnsi="宋体"/>
          <w:szCs w:val="21"/>
          <w:highlight w:val="none"/>
        </w:rPr>
        <w:t>万元。</w:t>
      </w:r>
    </w:p>
    <w:p w14:paraId="79AA24BA">
      <w:pPr>
        <w:spacing w:line="360" w:lineRule="auto"/>
        <w:ind w:firstLine="525" w:firstLineChars="250"/>
        <w:rPr>
          <w:rFonts w:hint="eastAsia" w:ascii="宋体" w:hAnsi="宋体"/>
          <w:szCs w:val="21"/>
          <w:highlight w:val="none"/>
        </w:rPr>
      </w:pPr>
      <w:r>
        <w:rPr>
          <w:rFonts w:ascii="宋体" w:hAnsi="宋体"/>
          <w:szCs w:val="21"/>
          <w:highlight w:val="none"/>
        </w:rPr>
        <w:t>……</w:t>
      </w:r>
    </w:p>
    <w:p w14:paraId="0CA299A3">
      <w:pPr>
        <w:spacing w:line="360" w:lineRule="auto"/>
        <w:ind w:firstLine="525" w:firstLineChars="250"/>
        <w:rPr>
          <w:rFonts w:hint="eastAsia" w:ascii="宋体" w:hAnsi="宋体"/>
          <w:szCs w:val="21"/>
          <w:highlight w:val="none"/>
        </w:rPr>
      </w:pPr>
      <w:r>
        <w:rPr>
          <w:rFonts w:hint="eastAsia" w:ascii="宋体" w:hAnsi="宋体"/>
          <w:szCs w:val="21"/>
          <w:highlight w:val="none"/>
        </w:rPr>
        <w:t>4.本合同执行期间服务总费用不变，甲方无须另向乙方支付本合同规定之外的其他任何费用。</w:t>
      </w:r>
    </w:p>
    <w:p w14:paraId="0C471155">
      <w:pPr>
        <w:spacing w:before="120" w:beforeLines="50" w:after="120" w:afterLines="50" w:line="360" w:lineRule="auto"/>
        <w:ind w:firstLine="602" w:firstLineChars="200"/>
        <w:rPr>
          <w:rFonts w:hint="eastAsia" w:ascii="宋体" w:hAnsi="宋体"/>
          <w:b/>
          <w:sz w:val="30"/>
          <w:szCs w:val="30"/>
          <w:highlight w:val="none"/>
        </w:rPr>
      </w:pPr>
      <w:r>
        <w:rPr>
          <w:rFonts w:hint="eastAsia" w:ascii="宋体" w:hAnsi="宋体"/>
          <w:b/>
          <w:sz w:val="30"/>
          <w:szCs w:val="30"/>
          <w:highlight w:val="none"/>
        </w:rPr>
        <w:t xml:space="preserve">第五条 </w:t>
      </w:r>
      <w:r>
        <w:rPr>
          <w:rFonts w:hint="eastAsia" w:ascii="宋体" w:hAnsi="宋体"/>
          <w:b/>
          <w:szCs w:val="21"/>
          <w:highlight w:val="none"/>
        </w:rPr>
        <w:t xml:space="preserve"> </w:t>
      </w:r>
      <w:r>
        <w:rPr>
          <w:rFonts w:hint="eastAsia" w:ascii="宋体" w:hAnsi="宋体"/>
          <w:b/>
          <w:sz w:val="30"/>
          <w:szCs w:val="30"/>
          <w:highlight w:val="none"/>
        </w:rPr>
        <w:t>服务费支付方式</w:t>
      </w:r>
    </w:p>
    <w:p w14:paraId="37C4C310">
      <w:pPr>
        <w:spacing w:line="360" w:lineRule="auto"/>
        <w:ind w:firstLine="525" w:firstLineChars="250"/>
        <w:rPr>
          <w:rFonts w:hint="eastAsia" w:ascii="宋体" w:hAnsi="宋体"/>
          <w:szCs w:val="21"/>
          <w:highlight w:val="none"/>
        </w:rPr>
      </w:pPr>
      <w:r>
        <w:rPr>
          <w:rFonts w:hint="eastAsia" w:ascii="宋体" w:hAnsi="宋体"/>
          <w:szCs w:val="21"/>
          <w:highlight w:val="none"/>
        </w:rPr>
        <w:t>1、结算单位</w:t>
      </w:r>
    </w:p>
    <w:p w14:paraId="2F85A496">
      <w:pPr>
        <w:spacing w:line="360" w:lineRule="auto"/>
        <w:ind w:firstLine="525" w:firstLineChars="250"/>
        <w:rPr>
          <w:rFonts w:hint="eastAsia" w:ascii="宋体" w:hAnsi="宋体"/>
          <w:szCs w:val="21"/>
          <w:highlight w:val="none"/>
        </w:rPr>
      </w:pPr>
      <w:r>
        <w:rPr>
          <w:rFonts w:hint="eastAsia" w:ascii="宋体" w:hAnsi="宋体"/>
          <w:szCs w:val="21"/>
          <w:highlight w:val="none"/>
        </w:rPr>
        <w:t>银行转账，由甲方负责结算。在付款前，成交人须开具与合同金额相应的发票给采购人。</w:t>
      </w:r>
    </w:p>
    <w:p w14:paraId="407E67FE">
      <w:pPr>
        <w:spacing w:line="360" w:lineRule="auto"/>
        <w:ind w:firstLine="525" w:firstLineChars="250"/>
        <w:rPr>
          <w:rFonts w:hint="eastAsia" w:ascii="宋体" w:hAnsi="宋体"/>
          <w:szCs w:val="21"/>
          <w:highlight w:val="none"/>
        </w:rPr>
      </w:pPr>
      <w:r>
        <w:rPr>
          <w:rFonts w:hint="eastAsia" w:ascii="宋体" w:hAnsi="宋体"/>
          <w:szCs w:val="21"/>
          <w:highlight w:val="none"/>
        </w:rPr>
        <w:t>2、付款方式</w:t>
      </w:r>
    </w:p>
    <w:p w14:paraId="6EFD3262">
      <w:pPr>
        <w:spacing w:line="360" w:lineRule="auto"/>
        <w:ind w:firstLine="525" w:firstLineChars="250"/>
        <w:rPr>
          <w:rFonts w:hint="eastAsia"/>
          <w:highlight w:val="none"/>
          <w:lang w:eastAsia="zh-CN"/>
        </w:rPr>
      </w:pPr>
      <w:r>
        <w:rPr>
          <w:highlight w:val="none"/>
        </w:rPr>
        <w:t>分期付款</w:t>
      </w:r>
    </w:p>
    <w:p w14:paraId="4339D97E">
      <w:pPr>
        <w:spacing w:line="360" w:lineRule="auto"/>
        <w:ind w:firstLine="525" w:firstLineChars="250"/>
        <w:rPr>
          <w:rFonts w:hint="eastAsia" w:ascii="宋体" w:hAnsi="宋体"/>
          <w:szCs w:val="21"/>
          <w:highlight w:val="none"/>
        </w:rPr>
      </w:pPr>
      <w:r>
        <w:rPr>
          <w:rFonts w:hint="eastAsia" w:ascii="宋体" w:hAnsi="宋体"/>
          <w:szCs w:val="21"/>
          <w:highlight w:val="none"/>
        </w:rPr>
        <w:t>付款条件说明</w:t>
      </w:r>
      <w:r>
        <w:rPr>
          <w:rFonts w:hint="eastAsia" w:ascii="宋体" w:hAnsi="宋体"/>
          <w:szCs w:val="21"/>
          <w:highlight w:val="none"/>
          <w:lang w:val="en-US" w:eastAsia="zh-CN"/>
        </w:rPr>
        <w:t>1</w:t>
      </w:r>
      <w:r>
        <w:rPr>
          <w:rFonts w:hint="eastAsia" w:ascii="宋体" w:hAnsi="宋体"/>
          <w:szCs w:val="21"/>
          <w:highlight w:val="none"/>
        </w:rPr>
        <w:t xml:space="preserve">： </w:t>
      </w:r>
      <w:r>
        <w:rPr>
          <w:rFonts w:hint="eastAsia"/>
          <w:highlight w:val="none"/>
        </w:rPr>
        <w:t>合同签订后15个工作日内支付合同总价款的50%</w:t>
      </w:r>
      <w:r>
        <w:rPr>
          <w:rFonts w:hint="eastAsia" w:ascii="宋体" w:hAnsi="宋体"/>
          <w:szCs w:val="21"/>
          <w:highlight w:val="none"/>
        </w:rPr>
        <w:t>；</w:t>
      </w:r>
    </w:p>
    <w:p w14:paraId="50A2F4CA">
      <w:pPr>
        <w:spacing w:line="360" w:lineRule="auto"/>
        <w:ind w:firstLine="525" w:firstLineChars="250"/>
        <w:rPr>
          <w:rFonts w:hint="eastAsia" w:ascii="宋体" w:hAnsi="宋体"/>
          <w:szCs w:val="21"/>
          <w:highlight w:val="none"/>
        </w:rPr>
      </w:pPr>
      <w:r>
        <w:rPr>
          <w:rFonts w:hint="eastAsia" w:ascii="宋体" w:hAnsi="宋体"/>
          <w:szCs w:val="21"/>
          <w:highlight w:val="none"/>
        </w:rPr>
        <w:t>付款条件说明</w:t>
      </w:r>
      <w:r>
        <w:rPr>
          <w:rFonts w:hint="eastAsia" w:ascii="宋体" w:hAnsi="宋体"/>
          <w:szCs w:val="21"/>
          <w:highlight w:val="none"/>
          <w:lang w:val="en-US" w:eastAsia="zh-CN"/>
        </w:rPr>
        <w:t>2</w:t>
      </w:r>
      <w:r>
        <w:rPr>
          <w:rFonts w:hint="eastAsia" w:ascii="宋体" w:hAnsi="宋体"/>
          <w:szCs w:val="21"/>
          <w:highlight w:val="none"/>
        </w:rPr>
        <w:t xml:space="preserve">： </w:t>
      </w:r>
      <w:r>
        <w:rPr>
          <w:rFonts w:hint="eastAsia"/>
          <w:highlight w:val="none"/>
        </w:rPr>
        <w:t>项目实施阶段完成、成果交付验收合格后，15个工作日内支付合同总价款的50%</w:t>
      </w:r>
      <w:r>
        <w:rPr>
          <w:rFonts w:hint="eastAsia" w:ascii="宋体" w:hAnsi="宋体"/>
          <w:szCs w:val="21"/>
          <w:highlight w:val="none"/>
        </w:rPr>
        <w:t>。</w:t>
      </w:r>
    </w:p>
    <w:p w14:paraId="13C1CF06">
      <w:pPr>
        <w:spacing w:before="120" w:beforeLines="50"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第六条   知识产权</w:t>
      </w:r>
    </w:p>
    <w:p w14:paraId="3953DC37">
      <w:pPr>
        <w:tabs>
          <w:tab w:val="left" w:pos="1440"/>
        </w:tabs>
        <w:spacing w:line="360" w:lineRule="auto"/>
        <w:ind w:firstLine="420" w:firstLineChars="200"/>
        <w:rPr>
          <w:rFonts w:hint="eastAsia" w:ascii="宋体" w:hAnsi="宋体"/>
          <w:szCs w:val="21"/>
          <w:highlight w:val="none"/>
        </w:rPr>
      </w:pPr>
      <w:r>
        <w:rPr>
          <w:rFonts w:hint="eastAsia" w:ascii="宋体" w:hAnsi="宋体"/>
          <w:szCs w:val="21"/>
          <w:highlight w:val="none"/>
        </w:rPr>
        <w:t>乙方应保证所提供的服务或其任何一部分均不会侵犯任何第三方的专利权、商标权或著作权。</w:t>
      </w:r>
    </w:p>
    <w:p w14:paraId="71333CAE">
      <w:pPr>
        <w:spacing w:before="120" w:beforeLines="50"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第七条  无产权瑕疵条款</w:t>
      </w:r>
    </w:p>
    <w:p w14:paraId="4857A9D4">
      <w:pPr>
        <w:tabs>
          <w:tab w:val="left" w:pos="1440"/>
        </w:tabs>
        <w:spacing w:line="360" w:lineRule="auto"/>
        <w:ind w:firstLine="420" w:firstLineChars="200"/>
        <w:rPr>
          <w:rFonts w:hint="eastAsia" w:ascii="宋体" w:hAnsi="宋体"/>
          <w:szCs w:val="21"/>
          <w:highlight w:val="none"/>
        </w:rPr>
      </w:pPr>
      <w:r>
        <w:rPr>
          <w:rFonts w:hint="eastAsia" w:ascii="宋体" w:hAnsi="宋体"/>
          <w:szCs w:val="21"/>
          <w:highlight w:val="none"/>
        </w:rPr>
        <w:t>乙方保证所提供的服务的所有权完全属于乙方且无任何抵押、查封等产权瑕疵。如有产权瑕疵的，视为乙方违约。乙方应负担由此而产生的一切损失。</w:t>
      </w:r>
    </w:p>
    <w:p w14:paraId="19DD81E3">
      <w:pPr>
        <w:widowControl/>
        <w:spacing w:before="120" w:beforeLines="50" w:after="120" w:afterLines="50" w:line="360" w:lineRule="auto"/>
        <w:jc w:val="left"/>
        <w:rPr>
          <w:rFonts w:hint="eastAsia" w:ascii="宋体" w:hAnsi="宋体"/>
          <w:b/>
          <w:sz w:val="30"/>
          <w:szCs w:val="30"/>
          <w:highlight w:val="none"/>
        </w:rPr>
      </w:pPr>
      <w:r>
        <w:rPr>
          <w:rFonts w:hint="eastAsia" w:ascii="宋体" w:hAnsi="宋体"/>
          <w:b/>
          <w:sz w:val="30"/>
          <w:szCs w:val="30"/>
          <w:highlight w:val="none"/>
        </w:rPr>
        <w:t xml:space="preserve">   第八条   履约保证金</w:t>
      </w:r>
    </w:p>
    <w:p w14:paraId="20B10E5D">
      <w:pPr>
        <w:widowControl/>
        <w:spacing w:line="360" w:lineRule="auto"/>
        <w:ind w:firstLine="420" w:firstLineChars="200"/>
        <w:jc w:val="left"/>
        <w:rPr>
          <w:rFonts w:hint="eastAsia" w:ascii="宋体" w:hAnsi="宋体"/>
          <w:b/>
          <w:szCs w:val="21"/>
          <w:highlight w:val="none"/>
        </w:rPr>
      </w:pPr>
      <w:r>
        <w:rPr>
          <w:rFonts w:hint="eastAsia" w:ascii="宋体" w:hAnsi="宋体" w:cs="宋体"/>
          <w:color w:val="000000"/>
          <w:kern w:val="0"/>
          <w:szCs w:val="21"/>
          <w:highlight w:val="none"/>
        </w:rPr>
        <w:t>1.乙方在签订本合同之前，向甲方构提交履约保证金人民币（大写）</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元，￥</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w:t>
      </w:r>
    </w:p>
    <w:p w14:paraId="31C87F9C">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bCs/>
          <w:szCs w:val="21"/>
          <w:highlight w:val="none"/>
        </w:rPr>
        <w:t>2.</w:t>
      </w:r>
      <w:r>
        <w:rPr>
          <w:rFonts w:hint="eastAsia" w:ascii="宋体" w:hAnsi="宋体" w:cs="宋体"/>
          <w:color w:val="000000"/>
          <w:kern w:val="0"/>
          <w:szCs w:val="21"/>
          <w:highlight w:val="none"/>
        </w:rPr>
        <w:t>履约保证金的有效期为乙方承诺的服务期限。</w:t>
      </w:r>
    </w:p>
    <w:p w14:paraId="2F8597E1">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3.履约保证金作为违约金的一部分及用于补偿甲方因乙方不能履行合同义务而蒙受的损失。</w:t>
      </w:r>
    </w:p>
    <w:p w14:paraId="109DCEF8">
      <w:pPr>
        <w:widowControl/>
        <w:spacing w:line="360" w:lineRule="auto"/>
        <w:ind w:firstLine="420" w:firstLineChars="200"/>
        <w:jc w:val="left"/>
        <w:rPr>
          <w:rFonts w:hint="eastAsia" w:ascii="宋体" w:hAnsi="宋体"/>
          <w:szCs w:val="21"/>
          <w:highlight w:val="none"/>
        </w:rPr>
      </w:pPr>
      <w:r>
        <w:rPr>
          <w:rFonts w:hint="eastAsia" w:ascii="宋体" w:hAnsi="宋体" w:cs="宋体"/>
          <w:color w:val="000000"/>
          <w:kern w:val="0"/>
          <w:szCs w:val="21"/>
          <w:highlight w:val="none"/>
        </w:rPr>
        <w:t>4.</w:t>
      </w:r>
      <w:r>
        <w:rPr>
          <w:rFonts w:hint="eastAsia" w:ascii="宋体" w:hAnsi="宋体"/>
          <w:szCs w:val="21"/>
          <w:highlight w:val="none"/>
        </w:rPr>
        <w:t>服务期限结束后，甲方财务部门接到甲方确认本合同服务等约定事项已经履行完毕的正式书面文件后的</w:t>
      </w:r>
      <w:r>
        <w:rPr>
          <w:rFonts w:hint="eastAsia" w:ascii="宋体" w:hAnsi="宋体"/>
          <w:szCs w:val="21"/>
          <w:highlight w:val="none"/>
          <w:u w:val="single"/>
        </w:rPr>
        <w:t xml:space="preserve">   </w:t>
      </w:r>
      <w:r>
        <w:rPr>
          <w:rFonts w:hint="eastAsia" w:ascii="宋体" w:hAnsi="宋体"/>
          <w:szCs w:val="21"/>
          <w:highlight w:val="none"/>
        </w:rPr>
        <w:t>日内，向乙方退还履约保证金。</w:t>
      </w:r>
    </w:p>
    <w:p w14:paraId="4ED3B4FC">
      <w:pPr>
        <w:widowControl/>
        <w:spacing w:line="360" w:lineRule="auto"/>
        <w:ind w:firstLine="420" w:firstLineChars="200"/>
        <w:jc w:val="left"/>
        <w:rPr>
          <w:rFonts w:hint="eastAsia" w:ascii="宋体" w:hAnsi="宋体"/>
          <w:bCs/>
          <w:szCs w:val="21"/>
          <w:highlight w:val="none"/>
        </w:rPr>
      </w:pPr>
      <w:r>
        <w:rPr>
          <w:rFonts w:hint="eastAsia" w:ascii="宋体" w:hAnsi="宋体"/>
          <w:szCs w:val="21"/>
          <w:highlight w:val="none"/>
        </w:rPr>
        <w:t>5.乙方可以履约担保函的形式交纳履约保证金。</w:t>
      </w:r>
    </w:p>
    <w:p w14:paraId="728B53EF">
      <w:pPr>
        <w:spacing w:before="120" w:beforeLines="50" w:after="120" w:afterLines="50" w:line="360" w:lineRule="auto"/>
        <w:ind w:left="425"/>
        <w:rPr>
          <w:rFonts w:ascii="宋体" w:hAnsi="宋体"/>
          <w:b/>
          <w:sz w:val="30"/>
          <w:szCs w:val="30"/>
          <w:highlight w:val="none"/>
        </w:rPr>
      </w:pPr>
      <w:r>
        <w:rPr>
          <w:rFonts w:hint="eastAsia" w:ascii="宋体" w:hAnsi="宋体"/>
          <w:b/>
          <w:sz w:val="30"/>
          <w:szCs w:val="30"/>
          <w:highlight w:val="none"/>
        </w:rPr>
        <w:t xml:space="preserve">第九条  </w:t>
      </w:r>
      <w:r>
        <w:rPr>
          <w:rFonts w:ascii="宋体" w:hAnsi="宋体"/>
          <w:b/>
          <w:sz w:val="30"/>
          <w:szCs w:val="30"/>
          <w:highlight w:val="none"/>
        </w:rPr>
        <w:t>甲方的权利和义务</w:t>
      </w:r>
    </w:p>
    <w:p w14:paraId="53EB5CD3">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1.</w:t>
      </w:r>
      <w:r>
        <w:rPr>
          <w:rFonts w:ascii="宋体" w:hAnsi="宋体"/>
          <w:bCs/>
          <w:szCs w:val="21"/>
          <w:highlight w:val="none"/>
        </w:rPr>
        <w:t>甲方有权对合同规定范围内</w:t>
      </w:r>
      <w:r>
        <w:rPr>
          <w:rFonts w:hint="eastAsia" w:ascii="宋体" w:hAnsi="宋体"/>
          <w:bCs/>
          <w:szCs w:val="21"/>
          <w:highlight w:val="none"/>
        </w:rPr>
        <w:t>乙方的服务行为</w:t>
      </w:r>
      <w:r>
        <w:rPr>
          <w:rFonts w:ascii="宋体" w:hAnsi="宋体"/>
          <w:bCs/>
          <w:szCs w:val="21"/>
          <w:highlight w:val="none"/>
        </w:rPr>
        <w:t>进行监督和检查，拥有监管权。有权定期核对乙方提供服务所配备的人员数量。对甲方认为不合理的部分有权</w:t>
      </w:r>
      <w:r>
        <w:rPr>
          <w:rFonts w:hint="eastAsia" w:ascii="宋体" w:hAnsi="宋体"/>
          <w:bCs/>
          <w:szCs w:val="21"/>
          <w:highlight w:val="none"/>
        </w:rPr>
        <w:t>下达整改通知书，并</w:t>
      </w:r>
      <w:r>
        <w:rPr>
          <w:rFonts w:ascii="宋体" w:hAnsi="宋体"/>
          <w:bCs/>
          <w:szCs w:val="21"/>
          <w:highlight w:val="none"/>
        </w:rPr>
        <w:t>要求乙方</w:t>
      </w:r>
      <w:r>
        <w:rPr>
          <w:rFonts w:hint="eastAsia" w:ascii="宋体" w:hAnsi="宋体"/>
          <w:bCs/>
          <w:szCs w:val="21"/>
          <w:highlight w:val="none"/>
        </w:rPr>
        <w:t>限期整改</w:t>
      </w:r>
      <w:r>
        <w:rPr>
          <w:rFonts w:ascii="宋体" w:hAnsi="宋体"/>
          <w:bCs/>
          <w:szCs w:val="21"/>
          <w:highlight w:val="none"/>
        </w:rPr>
        <w:t>。</w:t>
      </w:r>
    </w:p>
    <w:p w14:paraId="1CAB8106">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2.甲方有权依据双方签订的考评办法对乙方提供的服务进行定期考评。当考评结果未达到标准时，有权依据考评办法约定的数额扣除履约保证金。</w:t>
      </w:r>
    </w:p>
    <w:p w14:paraId="15D26467">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3.</w:t>
      </w:r>
      <w:r>
        <w:rPr>
          <w:rFonts w:ascii="宋体" w:hAnsi="宋体"/>
          <w:bCs/>
          <w:szCs w:val="21"/>
          <w:highlight w:val="none"/>
        </w:rPr>
        <w:t>负责检查监督乙方管理工作的实施及制度的执行情况。</w:t>
      </w:r>
    </w:p>
    <w:p w14:paraId="7E96AE4B">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4.</w:t>
      </w:r>
      <w:r>
        <w:rPr>
          <w:rFonts w:ascii="宋体" w:hAnsi="宋体"/>
          <w:bCs/>
          <w:szCs w:val="21"/>
          <w:highlight w:val="none"/>
        </w:rPr>
        <w:t>根据本合同规定，按时向乙方支付应付</w:t>
      </w:r>
      <w:r>
        <w:rPr>
          <w:rFonts w:hint="eastAsia" w:ascii="宋体" w:hAnsi="宋体"/>
          <w:bCs/>
          <w:szCs w:val="21"/>
          <w:highlight w:val="none"/>
        </w:rPr>
        <w:t>服务费用</w:t>
      </w:r>
      <w:r>
        <w:rPr>
          <w:rFonts w:ascii="宋体" w:hAnsi="宋体"/>
          <w:bCs/>
          <w:szCs w:val="21"/>
          <w:highlight w:val="none"/>
        </w:rPr>
        <w:t>。</w:t>
      </w:r>
    </w:p>
    <w:p w14:paraId="57790274">
      <w:pPr>
        <w:adjustRightInd w:val="0"/>
        <w:spacing w:line="360" w:lineRule="auto"/>
        <w:ind w:firstLine="420" w:firstLineChars="200"/>
        <w:jc w:val="left"/>
        <w:textAlignment w:val="baseline"/>
        <w:rPr>
          <w:rFonts w:ascii="宋体" w:hAnsi="宋体"/>
          <w:bCs/>
          <w:szCs w:val="21"/>
          <w:highlight w:val="none"/>
        </w:rPr>
      </w:pPr>
      <w:r>
        <w:rPr>
          <w:rFonts w:hint="eastAsia" w:ascii="宋体" w:hAnsi="宋体"/>
          <w:bCs/>
          <w:szCs w:val="21"/>
          <w:highlight w:val="none"/>
        </w:rPr>
        <w:t>5.</w:t>
      </w:r>
      <w:r>
        <w:rPr>
          <w:rFonts w:ascii="宋体" w:hAnsi="宋体"/>
          <w:bCs/>
          <w:szCs w:val="21"/>
          <w:highlight w:val="none"/>
        </w:rPr>
        <w:t>国家法律、法规所规定由甲方承担的其它责任。</w:t>
      </w:r>
    </w:p>
    <w:p w14:paraId="6BCE9067">
      <w:pPr>
        <w:spacing w:before="120" w:beforeLines="50" w:after="120" w:afterLines="50" w:line="360" w:lineRule="auto"/>
        <w:ind w:left="425"/>
        <w:rPr>
          <w:rFonts w:ascii="宋体" w:hAnsi="宋体"/>
          <w:b/>
          <w:sz w:val="30"/>
          <w:szCs w:val="30"/>
          <w:highlight w:val="none"/>
        </w:rPr>
      </w:pPr>
      <w:r>
        <w:rPr>
          <w:rFonts w:hint="eastAsia" w:ascii="宋体" w:hAnsi="宋体"/>
          <w:b/>
          <w:sz w:val="30"/>
          <w:szCs w:val="30"/>
          <w:highlight w:val="none"/>
        </w:rPr>
        <w:t xml:space="preserve">第十条  </w:t>
      </w:r>
      <w:r>
        <w:rPr>
          <w:rFonts w:ascii="宋体" w:hAnsi="宋体"/>
          <w:b/>
          <w:sz w:val="30"/>
          <w:szCs w:val="30"/>
          <w:highlight w:val="none"/>
        </w:rPr>
        <w:t>乙方的权利和义务</w:t>
      </w:r>
    </w:p>
    <w:p w14:paraId="2CFBC150">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1.</w:t>
      </w:r>
      <w:r>
        <w:rPr>
          <w:rFonts w:ascii="宋体" w:hAnsi="宋体"/>
          <w:bCs/>
          <w:szCs w:val="21"/>
          <w:highlight w:val="none"/>
        </w:rPr>
        <w:t>对本合同规定的委托</w:t>
      </w:r>
      <w:r>
        <w:rPr>
          <w:rFonts w:hint="eastAsia" w:ascii="宋体" w:hAnsi="宋体"/>
          <w:bCs/>
          <w:szCs w:val="21"/>
          <w:highlight w:val="none"/>
        </w:rPr>
        <w:t>服务</w:t>
      </w:r>
      <w:r>
        <w:rPr>
          <w:rFonts w:ascii="宋体" w:hAnsi="宋体"/>
          <w:bCs/>
          <w:szCs w:val="21"/>
          <w:highlight w:val="none"/>
        </w:rPr>
        <w:t>范围内的</w:t>
      </w:r>
      <w:r>
        <w:rPr>
          <w:rFonts w:hint="eastAsia" w:ascii="宋体" w:hAnsi="宋体"/>
          <w:bCs/>
          <w:szCs w:val="21"/>
          <w:highlight w:val="none"/>
        </w:rPr>
        <w:t>项目</w:t>
      </w:r>
      <w:r>
        <w:rPr>
          <w:rFonts w:ascii="宋体" w:hAnsi="宋体"/>
          <w:bCs/>
          <w:szCs w:val="21"/>
          <w:highlight w:val="none"/>
        </w:rPr>
        <w:t>享有管理权及服务义务。</w:t>
      </w:r>
    </w:p>
    <w:p w14:paraId="00996891">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2.</w:t>
      </w:r>
      <w:r>
        <w:rPr>
          <w:rFonts w:ascii="宋体" w:hAnsi="宋体"/>
          <w:bCs/>
          <w:szCs w:val="21"/>
          <w:highlight w:val="none"/>
        </w:rPr>
        <w:t>根据本合同的规定向甲方收取相关</w:t>
      </w:r>
      <w:r>
        <w:rPr>
          <w:rFonts w:hint="eastAsia" w:ascii="宋体" w:hAnsi="宋体"/>
          <w:bCs/>
          <w:szCs w:val="21"/>
          <w:highlight w:val="none"/>
        </w:rPr>
        <w:t>服务</w:t>
      </w:r>
      <w:r>
        <w:rPr>
          <w:rFonts w:ascii="宋体" w:hAnsi="宋体"/>
          <w:bCs/>
          <w:szCs w:val="21"/>
          <w:highlight w:val="none"/>
        </w:rPr>
        <w:t>费用，并有权</w:t>
      </w:r>
      <w:r>
        <w:rPr>
          <w:rFonts w:hint="eastAsia" w:ascii="宋体" w:hAnsi="宋体"/>
          <w:bCs/>
          <w:szCs w:val="21"/>
          <w:highlight w:val="none"/>
        </w:rPr>
        <w:t>在本项目管理范围内</w:t>
      </w:r>
      <w:r>
        <w:rPr>
          <w:rFonts w:ascii="宋体" w:hAnsi="宋体"/>
          <w:bCs/>
          <w:szCs w:val="21"/>
          <w:highlight w:val="none"/>
        </w:rPr>
        <w:t>管理及合理使用。</w:t>
      </w:r>
    </w:p>
    <w:p w14:paraId="2750A599">
      <w:pPr>
        <w:adjustRightInd w:val="0"/>
        <w:spacing w:line="360" w:lineRule="auto"/>
        <w:ind w:firstLine="420" w:firstLineChars="200"/>
        <w:jc w:val="left"/>
        <w:textAlignment w:val="baseline"/>
        <w:rPr>
          <w:rFonts w:hint="eastAsia" w:ascii="宋体" w:hAnsi="宋体"/>
          <w:szCs w:val="21"/>
          <w:highlight w:val="none"/>
        </w:rPr>
      </w:pPr>
      <w:r>
        <w:rPr>
          <w:rFonts w:hint="eastAsia" w:ascii="宋体" w:hAnsi="宋体"/>
          <w:szCs w:val="21"/>
          <w:highlight w:val="none"/>
        </w:rPr>
        <w:t>3.及时向甲方通告本项目服务范围内有关服务的重大事项，及时配合处理投诉。</w:t>
      </w:r>
    </w:p>
    <w:p w14:paraId="4B65F18F">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szCs w:val="21"/>
          <w:highlight w:val="none"/>
        </w:rPr>
        <w:t>4.</w:t>
      </w:r>
      <w:r>
        <w:rPr>
          <w:rFonts w:ascii="宋体" w:hAnsi="宋体"/>
          <w:bCs/>
          <w:szCs w:val="21"/>
          <w:highlight w:val="none"/>
        </w:rPr>
        <w:t>接受</w:t>
      </w:r>
      <w:r>
        <w:rPr>
          <w:rFonts w:hint="eastAsia" w:ascii="宋体" w:hAnsi="宋体"/>
          <w:bCs/>
          <w:szCs w:val="21"/>
          <w:highlight w:val="none"/>
        </w:rPr>
        <w:t>项目行</w:t>
      </w:r>
      <w:r>
        <w:rPr>
          <w:rFonts w:ascii="宋体" w:hAnsi="宋体"/>
          <w:bCs/>
          <w:szCs w:val="21"/>
          <w:highlight w:val="none"/>
        </w:rPr>
        <w:t>业管理部门及政府有关部门的指导，接受甲方的监督。</w:t>
      </w:r>
    </w:p>
    <w:p w14:paraId="3A979573">
      <w:pPr>
        <w:adjustRightInd w:val="0"/>
        <w:spacing w:line="360" w:lineRule="auto"/>
        <w:ind w:firstLine="420" w:firstLineChars="200"/>
        <w:jc w:val="left"/>
        <w:textAlignment w:val="baseline"/>
        <w:rPr>
          <w:rFonts w:ascii="宋体" w:hAnsi="宋体"/>
          <w:bCs/>
          <w:szCs w:val="21"/>
          <w:highlight w:val="none"/>
        </w:rPr>
      </w:pPr>
      <w:r>
        <w:rPr>
          <w:rFonts w:hint="eastAsia" w:ascii="宋体" w:hAnsi="宋体"/>
          <w:bCs/>
          <w:szCs w:val="21"/>
          <w:highlight w:val="none"/>
        </w:rPr>
        <w:t>5.</w:t>
      </w:r>
      <w:r>
        <w:rPr>
          <w:rFonts w:ascii="宋体" w:hAnsi="宋体"/>
          <w:bCs/>
          <w:szCs w:val="21"/>
          <w:highlight w:val="none"/>
        </w:rPr>
        <w:t>国家法律、法规所规定由乙方承担的其它责任。</w:t>
      </w:r>
    </w:p>
    <w:p w14:paraId="6AEB2875">
      <w:pPr>
        <w:spacing w:before="120" w:beforeLines="50" w:after="120" w:afterLines="50" w:line="360" w:lineRule="auto"/>
        <w:ind w:left="425"/>
        <w:rPr>
          <w:rFonts w:ascii="宋体" w:hAnsi="宋体"/>
          <w:b/>
          <w:sz w:val="30"/>
          <w:szCs w:val="30"/>
          <w:highlight w:val="none"/>
        </w:rPr>
      </w:pPr>
      <w:r>
        <w:rPr>
          <w:rFonts w:hint="eastAsia" w:ascii="宋体" w:hAnsi="宋体"/>
          <w:b/>
          <w:sz w:val="30"/>
          <w:szCs w:val="30"/>
          <w:highlight w:val="none"/>
        </w:rPr>
        <w:t xml:space="preserve">第十一条  </w:t>
      </w:r>
      <w:r>
        <w:rPr>
          <w:rFonts w:ascii="宋体" w:hAnsi="宋体"/>
          <w:b/>
          <w:sz w:val="30"/>
          <w:szCs w:val="30"/>
          <w:highlight w:val="none"/>
        </w:rPr>
        <w:t>违约责任</w:t>
      </w:r>
    </w:p>
    <w:p w14:paraId="7963BAC8">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1.</w:t>
      </w:r>
      <w:r>
        <w:rPr>
          <w:rFonts w:ascii="宋体" w:hAnsi="宋体"/>
          <w:bCs/>
          <w:szCs w:val="21"/>
          <w:highlight w:val="none"/>
        </w:rPr>
        <w:t>甲乙双方必须遵守本合同并执行合同中的各项规定，保证</w:t>
      </w:r>
      <w:r>
        <w:rPr>
          <w:rFonts w:hint="eastAsia" w:ascii="宋体" w:hAnsi="宋体"/>
          <w:bCs/>
          <w:szCs w:val="21"/>
          <w:highlight w:val="none"/>
        </w:rPr>
        <w:t>本</w:t>
      </w:r>
      <w:r>
        <w:rPr>
          <w:rFonts w:ascii="宋体" w:hAnsi="宋体"/>
          <w:bCs/>
          <w:szCs w:val="21"/>
          <w:highlight w:val="none"/>
        </w:rPr>
        <w:t>合同的正常</w:t>
      </w:r>
      <w:r>
        <w:rPr>
          <w:rFonts w:hint="eastAsia" w:ascii="宋体" w:hAnsi="宋体"/>
          <w:bCs/>
          <w:szCs w:val="21"/>
          <w:highlight w:val="none"/>
        </w:rPr>
        <w:t>履行</w:t>
      </w:r>
      <w:r>
        <w:rPr>
          <w:rFonts w:ascii="宋体" w:hAnsi="宋体"/>
          <w:bCs/>
          <w:szCs w:val="21"/>
          <w:highlight w:val="none"/>
        </w:rPr>
        <w:t>。</w:t>
      </w:r>
    </w:p>
    <w:p w14:paraId="3EA14BFD">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2.</w:t>
      </w:r>
      <w:r>
        <w:rPr>
          <w:rFonts w:ascii="宋体" w:hAnsi="宋体"/>
          <w:bCs/>
          <w:szCs w:val="21"/>
          <w:highlight w:val="none"/>
        </w:rPr>
        <w:t>如因乙方</w:t>
      </w:r>
      <w:r>
        <w:rPr>
          <w:rFonts w:hint="eastAsia" w:ascii="宋体" w:hAnsi="宋体"/>
          <w:bCs/>
          <w:szCs w:val="21"/>
          <w:highlight w:val="none"/>
        </w:rPr>
        <w:t>工作人员在履行职务过程中的</w:t>
      </w:r>
      <w:r>
        <w:rPr>
          <w:rFonts w:ascii="宋体" w:hAnsi="宋体"/>
          <w:bCs/>
          <w:szCs w:val="21"/>
          <w:highlight w:val="none"/>
        </w:rPr>
        <w:t>的疏忽、失职、过错等</w:t>
      </w:r>
      <w:r>
        <w:rPr>
          <w:rFonts w:hint="eastAsia" w:ascii="宋体" w:hAnsi="宋体"/>
          <w:bCs/>
          <w:szCs w:val="21"/>
          <w:highlight w:val="none"/>
        </w:rPr>
        <w:t>故意或者过失</w:t>
      </w:r>
      <w:r>
        <w:rPr>
          <w:rFonts w:ascii="宋体" w:hAnsi="宋体"/>
          <w:bCs/>
          <w:szCs w:val="21"/>
          <w:highlight w:val="none"/>
        </w:rPr>
        <w:t>原因给甲方造成损失或侵害，</w:t>
      </w:r>
      <w:r>
        <w:rPr>
          <w:rFonts w:hint="eastAsia" w:ascii="宋体" w:hAnsi="宋体"/>
          <w:bCs/>
          <w:szCs w:val="21"/>
          <w:highlight w:val="none"/>
        </w:rPr>
        <w:t>包括但不限于甲方本身的财产损失、由此而导致的甲方对任何第三方的法律责任等，乙方对此均应承担全部的赔偿责任</w:t>
      </w:r>
      <w:r>
        <w:rPr>
          <w:rFonts w:ascii="宋体" w:hAnsi="宋体"/>
          <w:bCs/>
          <w:szCs w:val="21"/>
          <w:highlight w:val="none"/>
        </w:rPr>
        <w:t>。</w:t>
      </w:r>
    </w:p>
    <w:p w14:paraId="00802DA2">
      <w:pPr>
        <w:spacing w:before="120" w:beforeLines="50"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第十二条  不可抗力事件处理</w:t>
      </w:r>
    </w:p>
    <w:p w14:paraId="7BE59A36">
      <w:pPr>
        <w:tabs>
          <w:tab w:val="left" w:pos="0"/>
        </w:tabs>
        <w:spacing w:line="360" w:lineRule="auto"/>
        <w:ind w:firstLine="420" w:firstLineChars="200"/>
        <w:rPr>
          <w:rFonts w:hint="eastAsia" w:ascii="宋体" w:hAnsi="宋体"/>
          <w:szCs w:val="21"/>
          <w:highlight w:val="none"/>
        </w:rPr>
      </w:pPr>
      <w:r>
        <w:rPr>
          <w:rFonts w:hint="eastAsia" w:ascii="宋体" w:hAnsi="宋体"/>
          <w:szCs w:val="21"/>
          <w:highlight w:val="none"/>
        </w:rPr>
        <w:t>1.在合同有效期内，任何一方因不可抗力事件导致不能履行合同，则合同履行期可延长，其延长期与不可抗力影响期相同。</w:t>
      </w:r>
    </w:p>
    <w:p w14:paraId="4FE57654">
      <w:pPr>
        <w:tabs>
          <w:tab w:val="left" w:pos="0"/>
        </w:tabs>
        <w:spacing w:line="360" w:lineRule="auto"/>
        <w:ind w:firstLine="420" w:firstLineChars="200"/>
        <w:rPr>
          <w:rFonts w:hint="eastAsia" w:ascii="宋体" w:hAnsi="宋体"/>
          <w:szCs w:val="21"/>
          <w:highlight w:val="none"/>
        </w:rPr>
      </w:pPr>
      <w:r>
        <w:rPr>
          <w:rFonts w:hint="eastAsia" w:ascii="宋体" w:hAnsi="宋体"/>
          <w:szCs w:val="21"/>
          <w:highlight w:val="none"/>
        </w:rPr>
        <w:t>2.不可抗力事件发生后，应立即通知对方，并寄送有关权威机构出具的证明。</w:t>
      </w:r>
    </w:p>
    <w:p w14:paraId="02A06AFA">
      <w:pPr>
        <w:tabs>
          <w:tab w:val="left" w:pos="0"/>
        </w:tabs>
        <w:spacing w:line="360" w:lineRule="auto"/>
        <w:ind w:firstLine="420" w:firstLineChars="200"/>
        <w:rPr>
          <w:rFonts w:ascii="宋体" w:hAnsi="宋体"/>
          <w:szCs w:val="21"/>
          <w:highlight w:val="none"/>
        </w:rPr>
      </w:pPr>
      <w:r>
        <w:rPr>
          <w:rFonts w:hint="eastAsia" w:ascii="宋体" w:hAnsi="宋体"/>
          <w:szCs w:val="21"/>
          <w:highlight w:val="none"/>
        </w:rPr>
        <w:t>3.不可抗力事件延续</w:t>
      </w:r>
      <w:r>
        <w:rPr>
          <w:rFonts w:hint="eastAsia" w:ascii="宋体" w:hAnsi="宋体"/>
          <w:color w:val="000000"/>
          <w:szCs w:val="21"/>
          <w:highlight w:val="none"/>
        </w:rPr>
        <w:t>XX</w:t>
      </w:r>
      <w:r>
        <w:rPr>
          <w:rFonts w:hint="eastAsia" w:ascii="宋体" w:hAnsi="宋体"/>
          <w:szCs w:val="21"/>
          <w:highlight w:val="none"/>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25834153">
      <w:pPr>
        <w:widowControl/>
        <w:spacing w:before="120" w:beforeLines="50" w:after="120" w:afterLines="50" w:line="360" w:lineRule="auto"/>
        <w:jc w:val="left"/>
        <w:rPr>
          <w:rFonts w:hint="eastAsia" w:ascii="宋体" w:hAnsi="宋体" w:cs="宋体"/>
          <w:color w:val="000000"/>
          <w:kern w:val="0"/>
          <w:sz w:val="30"/>
          <w:szCs w:val="30"/>
          <w:highlight w:val="none"/>
        </w:rPr>
      </w:pPr>
      <w:bookmarkStart w:id="18" w:name="_Toc239233919"/>
      <w:bookmarkStart w:id="19" w:name="_Toc238984980"/>
      <w:bookmarkStart w:id="20" w:name="_Toc225654649"/>
      <w:bookmarkStart w:id="21" w:name="_Toc286993792"/>
      <w:bookmarkStart w:id="22" w:name="_Toc185395254"/>
      <w:bookmarkStart w:id="23" w:name="_Toc247334846"/>
      <w:bookmarkStart w:id="24" w:name="_Toc237145411"/>
      <w:bookmarkStart w:id="25" w:name="_Toc241833908"/>
      <w:bookmarkStart w:id="26" w:name="_Toc239568423"/>
      <w:bookmarkStart w:id="27" w:name="_Toc251768867"/>
      <w:bookmarkStart w:id="28" w:name="_Toc212019599"/>
      <w:bookmarkStart w:id="29" w:name="_Toc232492933"/>
      <w:bookmarkStart w:id="30" w:name="_Toc211854454"/>
      <w:bookmarkStart w:id="31" w:name="_Toc225670756"/>
      <w:bookmarkStart w:id="32" w:name="_Toc225244857"/>
      <w:bookmarkStart w:id="33" w:name="_Toc211911353"/>
      <w:r>
        <w:rPr>
          <w:rFonts w:hint="eastAsia" w:ascii="宋体" w:hAnsi="宋体"/>
          <w:b/>
          <w:sz w:val="30"/>
          <w:szCs w:val="30"/>
          <w:highlight w:val="none"/>
        </w:rPr>
        <w:t xml:space="preserve">   第十三条  </w:t>
      </w:r>
      <w:r>
        <w:rPr>
          <w:rFonts w:hint="eastAsia" w:ascii="宋体" w:hAnsi="宋体" w:cs="宋体"/>
          <w:b/>
          <w:color w:val="000000"/>
          <w:kern w:val="0"/>
          <w:sz w:val="30"/>
          <w:szCs w:val="30"/>
          <w:highlight w:val="none"/>
        </w:rPr>
        <w:t>合同的变更和终止</w:t>
      </w:r>
    </w:p>
    <w:p w14:paraId="28FEC297">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除《中华人民共和国政府采购法》第49条、第50条第二款规定的情形外，本合同一经签订，甲乙双方不得擅自变更、中止或终止合同。</w:t>
      </w:r>
    </w:p>
    <w:p w14:paraId="200E3458">
      <w:pPr>
        <w:spacing w:before="120" w:beforeLines="50" w:after="120" w:afterLines="50" w:line="360" w:lineRule="auto"/>
        <w:ind w:left="425"/>
        <w:rPr>
          <w:rFonts w:ascii="宋体" w:hAnsi="宋体"/>
          <w:b/>
          <w:szCs w:val="21"/>
          <w:highlight w:val="none"/>
        </w:rPr>
      </w:pPr>
      <w:r>
        <w:rPr>
          <w:rFonts w:hint="eastAsia" w:ascii="宋体" w:hAnsi="宋体"/>
          <w:b/>
          <w:sz w:val="30"/>
          <w:szCs w:val="30"/>
          <w:highlight w:val="none"/>
        </w:rPr>
        <w:t>第十四条  解</w:t>
      </w:r>
      <w:r>
        <w:rPr>
          <w:rFonts w:ascii="宋体" w:hAnsi="宋体"/>
          <w:b/>
          <w:sz w:val="30"/>
          <w:szCs w:val="30"/>
          <w:highlight w:val="none"/>
        </w:rPr>
        <w:t>决合同纠纷的方</w:t>
      </w:r>
      <w:r>
        <w:rPr>
          <w:rFonts w:ascii="宋体" w:hAnsi="宋体"/>
          <w:b/>
          <w:szCs w:val="21"/>
          <w:highlight w:val="none"/>
        </w:rPr>
        <w:t>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7A82BCF">
      <w:pPr>
        <w:pStyle w:val="8"/>
        <w:spacing w:line="360" w:lineRule="auto"/>
        <w:ind w:firstLine="420"/>
        <w:rPr>
          <w:rFonts w:hint="eastAsia" w:ascii="宋体" w:hAnsi="宋体"/>
          <w:kern w:val="0"/>
          <w:sz w:val="21"/>
          <w:szCs w:val="21"/>
          <w:highlight w:val="none"/>
        </w:rPr>
      </w:pPr>
      <w:r>
        <w:rPr>
          <w:rFonts w:hint="eastAsia" w:ascii="宋体" w:hAnsi="宋体"/>
          <w:sz w:val="21"/>
          <w:szCs w:val="21"/>
          <w:highlight w:val="none"/>
        </w:rPr>
        <w:t>1.</w:t>
      </w:r>
      <w:r>
        <w:rPr>
          <w:rFonts w:ascii="宋体" w:hAnsi="宋体"/>
          <w:sz w:val="21"/>
          <w:szCs w:val="21"/>
          <w:highlight w:val="none"/>
        </w:rPr>
        <w:t>在执行本合同中发生的或与本合同有关的争端，双方应通过友好协商解决，经协商在</w:t>
      </w:r>
      <w:r>
        <w:rPr>
          <w:rFonts w:hint="eastAsia" w:ascii="宋体" w:hAnsi="宋体"/>
          <w:color w:val="000000"/>
          <w:sz w:val="21"/>
          <w:szCs w:val="21"/>
          <w:highlight w:val="none"/>
        </w:rPr>
        <w:t>XX</w:t>
      </w:r>
      <w:r>
        <w:rPr>
          <w:rFonts w:ascii="宋体" w:hAnsi="宋体"/>
          <w:sz w:val="21"/>
          <w:szCs w:val="21"/>
          <w:highlight w:val="none"/>
        </w:rPr>
        <w:t>天内不能达成协议时，</w:t>
      </w:r>
      <w:r>
        <w:rPr>
          <w:rFonts w:hint="eastAsia" w:ascii="宋体" w:hAnsi="宋体"/>
          <w:kern w:val="0"/>
          <w:sz w:val="21"/>
          <w:szCs w:val="21"/>
          <w:highlight w:val="none"/>
        </w:rPr>
        <w:t>则采取以下第</w:t>
      </w:r>
      <w:r>
        <w:rPr>
          <w:rFonts w:hint="eastAsia" w:ascii="宋体" w:hAnsi="宋体"/>
          <w:kern w:val="0"/>
          <w:sz w:val="21"/>
          <w:szCs w:val="21"/>
          <w:highlight w:val="none"/>
          <w:u w:val="single"/>
          <w:lang w:val="en-US" w:eastAsia="zh-CN"/>
        </w:rPr>
        <w:t xml:space="preserve">  1  </w:t>
      </w:r>
      <w:r>
        <w:rPr>
          <w:rFonts w:hint="eastAsia" w:ascii="宋体" w:hAnsi="宋体"/>
          <w:kern w:val="0"/>
          <w:sz w:val="21"/>
          <w:szCs w:val="21"/>
          <w:highlight w:val="none"/>
        </w:rPr>
        <w:t>种方式解决争议：</w:t>
      </w:r>
    </w:p>
    <w:p w14:paraId="7463653B">
      <w:pPr>
        <w:pStyle w:val="8"/>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（1）向甲方所在地有管辖权的人民法院提起诉讼；</w:t>
      </w:r>
    </w:p>
    <w:p w14:paraId="393A1E96">
      <w:pPr>
        <w:pStyle w:val="8"/>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（2）向</w:t>
      </w:r>
      <w:r>
        <w:rPr>
          <w:rFonts w:hint="eastAsia" w:ascii="宋体" w:hAnsi="宋体"/>
          <w:kern w:val="0"/>
          <w:sz w:val="21"/>
          <w:szCs w:val="21"/>
          <w:highlight w:val="none"/>
          <w:u w:val="single"/>
          <w:lang w:val="en-US" w:eastAsia="zh-CN"/>
        </w:rPr>
        <w:t xml:space="preserve">     </w:t>
      </w:r>
      <w:r>
        <w:rPr>
          <w:rFonts w:hint="eastAsia" w:ascii="宋体" w:hAnsi="宋体"/>
          <w:kern w:val="0"/>
          <w:sz w:val="21"/>
          <w:szCs w:val="21"/>
          <w:highlight w:val="none"/>
        </w:rPr>
        <w:t>仲裁委员会按其仲裁规则申请仲裁。</w:t>
      </w:r>
    </w:p>
    <w:p w14:paraId="66D49B73">
      <w:pPr>
        <w:tabs>
          <w:tab w:val="left" w:pos="0"/>
        </w:tabs>
        <w:spacing w:line="360" w:lineRule="auto"/>
        <w:ind w:firstLine="420" w:firstLineChars="200"/>
        <w:rPr>
          <w:rFonts w:ascii="宋体" w:hAnsi="宋体"/>
          <w:szCs w:val="21"/>
          <w:highlight w:val="none"/>
        </w:rPr>
      </w:pPr>
      <w:r>
        <w:rPr>
          <w:rFonts w:hint="eastAsia" w:ascii="宋体" w:hAnsi="宋体"/>
          <w:kern w:val="0"/>
          <w:szCs w:val="21"/>
          <w:highlight w:val="none"/>
        </w:rPr>
        <w:t>2.在仲裁期间，本合同应继续履行。</w:t>
      </w:r>
    </w:p>
    <w:p w14:paraId="13CF88D3">
      <w:pPr>
        <w:spacing w:before="120" w:beforeLines="50" w:after="120" w:afterLines="50" w:line="360" w:lineRule="auto"/>
        <w:ind w:left="425"/>
        <w:rPr>
          <w:rFonts w:ascii="宋体" w:hAnsi="宋体"/>
          <w:b/>
          <w:sz w:val="30"/>
          <w:szCs w:val="30"/>
          <w:highlight w:val="none"/>
        </w:rPr>
      </w:pPr>
      <w:bookmarkStart w:id="34" w:name="_Toc239233920"/>
      <w:bookmarkStart w:id="35" w:name="_Toc282696231"/>
      <w:bookmarkStart w:id="36" w:name="_Toc211911354"/>
      <w:bookmarkStart w:id="37" w:name="_Toc225244858"/>
      <w:bookmarkStart w:id="38" w:name="_Toc251768868"/>
      <w:bookmarkStart w:id="39" w:name="_Toc225670757"/>
      <w:bookmarkStart w:id="40" w:name="_Toc237145412"/>
      <w:bookmarkStart w:id="41" w:name="_Toc247334847"/>
      <w:bookmarkStart w:id="42" w:name="_Toc286993793"/>
      <w:bookmarkStart w:id="43" w:name="_Toc232492934"/>
      <w:bookmarkStart w:id="44" w:name="_Toc185395255"/>
      <w:bookmarkStart w:id="45" w:name="_Toc238984981"/>
      <w:bookmarkStart w:id="46" w:name="_Toc211854455"/>
      <w:bookmarkStart w:id="47" w:name="_Toc283019219"/>
      <w:bookmarkStart w:id="48" w:name="_Toc225654650"/>
      <w:bookmarkStart w:id="49" w:name="_Toc241833909"/>
      <w:bookmarkStart w:id="50" w:name="_Toc239568424"/>
      <w:bookmarkStart w:id="51" w:name="_Toc212019600"/>
      <w:r>
        <w:rPr>
          <w:rFonts w:hint="eastAsia" w:ascii="宋体" w:hAnsi="宋体"/>
          <w:b/>
          <w:sz w:val="30"/>
          <w:szCs w:val="30"/>
          <w:highlight w:val="none"/>
        </w:rPr>
        <w:t xml:space="preserve">第十四条  </w:t>
      </w:r>
      <w:r>
        <w:rPr>
          <w:rFonts w:ascii="宋体" w:hAnsi="宋体"/>
          <w:b/>
          <w:sz w:val="30"/>
          <w:szCs w:val="30"/>
          <w:highlight w:val="none"/>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30"/>
          <w:szCs w:val="30"/>
          <w:highlight w:val="none"/>
        </w:rPr>
        <w:t>生效及其他</w:t>
      </w:r>
    </w:p>
    <w:p w14:paraId="4FF242FF">
      <w:pPr>
        <w:pStyle w:val="9"/>
        <w:spacing w:line="360" w:lineRule="auto"/>
        <w:rPr>
          <w:rFonts w:hint="eastAsia" w:ascii="宋体" w:hAnsi="宋体"/>
          <w:sz w:val="21"/>
          <w:szCs w:val="21"/>
          <w:highlight w:val="none"/>
        </w:rPr>
      </w:pPr>
      <w:r>
        <w:rPr>
          <w:rFonts w:hint="eastAsia" w:ascii="宋体" w:hAnsi="宋体"/>
          <w:sz w:val="21"/>
          <w:szCs w:val="21"/>
          <w:highlight w:val="none"/>
        </w:rPr>
        <w:t>1.合同经双方法定代表人或授权委托代理人签字并加盖单位公章后生效。</w:t>
      </w:r>
    </w:p>
    <w:p w14:paraId="327A4CD3">
      <w:pPr>
        <w:pStyle w:val="9"/>
        <w:spacing w:line="360" w:lineRule="auto"/>
        <w:rPr>
          <w:rFonts w:hint="eastAsia" w:ascii="宋体" w:hAnsi="宋体"/>
          <w:sz w:val="21"/>
          <w:szCs w:val="21"/>
          <w:highlight w:val="none"/>
        </w:rPr>
      </w:pPr>
      <w:r>
        <w:rPr>
          <w:rFonts w:hint="eastAsia" w:ascii="宋体" w:hAnsi="宋体"/>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22740D1F">
      <w:pPr>
        <w:pStyle w:val="9"/>
        <w:spacing w:line="360" w:lineRule="auto"/>
        <w:rPr>
          <w:rFonts w:hint="eastAsia" w:ascii="宋体" w:hAnsi="宋体"/>
          <w:sz w:val="21"/>
          <w:szCs w:val="21"/>
          <w:highlight w:val="none"/>
        </w:rPr>
      </w:pPr>
      <w:r>
        <w:rPr>
          <w:rFonts w:hint="eastAsia" w:ascii="宋体" w:hAnsi="宋体"/>
          <w:sz w:val="21"/>
          <w:szCs w:val="21"/>
          <w:highlight w:val="none"/>
        </w:rPr>
        <w:t>3.本合同一式</w:t>
      </w:r>
      <w:r>
        <w:rPr>
          <w:rFonts w:hint="eastAsia" w:ascii="宋体" w:hAnsi="宋体"/>
          <w:color w:val="000000"/>
          <w:sz w:val="21"/>
          <w:szCs w:val="21"/>
          <w:highlight w:val="none"/>
        </w:rPr>
        <w:t>XX</w:t>
      </w:r>
      <w:r>
        <w:rPr>
          <w:rFonts w:hint="eastAsia" w:ascii="宋体" w:hAnsi="宋体"/>
          <w:sz w:val="21"/>
          <w:szCs w:val="21"/>
          <w:highlight w:val="none"/>
        </w:rPr>
        <w:t>份，自双方签章之日起起效。甲方</w:t>
      </w:r>
      <w:r>
        <w:rPr>
          <w:rFonts w:hint="eastAsia" w:ascii="宋体" w:hAnsi="宋体"/>
          <w:color w:val="000000"/>
          <w:sz w:val="21"/>
          <w:szCs w:val="21"/>
          <w:highlight w:val="none"/>
        </w:rPr>
        <w:t>XX</w:t>
      </w:r>
      <w:r>
        <w:rPr>
          <w:rFonts w:hint="eastAsia" w:ascii="宋体" w:hAnsi="宋体"/>
          <w:sz w:val="21"/>
          <w:szCs w:val="21"/>
          <w:highlight w:val="none"/>
        </w:rPr>
        <w:t>份，乙方</w:t>
      </w:r>
      <w:r>
        <w:rPr>
          <w:rFonts w:hint="eastAsia" w:ascii="宋体" w:hAnsi="宋体"/>
          <w:color w:val="000000"/>
          <w:sz w:val="21"/>
          <w:szCs w:val="21"/>
          <w:highlight w:val="none"/>
        </w:rPr>
        <w:t>XX</w:t>
      </w:r>
      <w:r>
        <w:rPr>
          <w:rFonts w:hint="eastAsia" w:ascii="宋体" w:hAnsi="宋体"/>
          <w:sz w:val="21"/>
          <w:szCs w:val="21"/>
          <w:highlight w:val="none"/>
        </w:rPr>
        <w:t>份，政府采购代理机构</w:t>
      </w:r>
      <w:r>
        <w:rPr>
          <w:rFonts w:hint="eastAsia" w:ascii="宋体" w:hAnsi="宋体"/>
          <w:color w:val="000000"/>
          <w:sz w:val="21"/>
          <w:szCs w:val="21"/>
          <w:highlight w:val="none"/>
        </w:rPr>
        <w:t>XX</w:t>
      </w:r>
      <w:r>
        <w:rPr>
          <w:rFonts w:hint="eastAsia" w:ascii="宋体" w:hAnsi="宋体"/>
          <w:sz w:val="21"/>
          <w:szCs w:val="21"/>
          <w:highlight w:val="none"/>
        </w:rPr>
        <w:t>份，同级财政部门备案</w:t>
      </w:r>
      <w:r>
        <w:rPr>
          <w:rFonts w:hint="eastAsia" w:ascii="宋体" w:hAnsi="宋体"/>
          <w:color w:val="000000"/>
          <w:sz w:val="21"/>
          <w:szCs w:val="21"/>
          <w:highlight w:val="none"/>
        </w:rPr>
        <w:t>XX</w:t>
      </w:r>
      <w:r>
        <w:rPr>
          <w:rFonts w:hint="eastAsia" w:ascii="宋体" w:hAnsi="宋体"/>
          <w:sz w:val="21"/>
          <w:szCs w:val="21"/>
          <w:highlight w:val="none"/>
        </w:rPr>
        <w:t>份，具有同等法律效力。</w:t>
      </w:r>
    </w:p>
    <w:p w14:paraId="2324D47B">
      <w:pPr>
        <w:spacing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第十五条  附件</w:t>
      </w:r>
    </w:p>
    <w:p w14:paraId="24A504FC">
      <w:pPr>
        <w:pStyle w:val="9"/>
        <w:spacing w:line="360" w:lineRule="auto"/>
        <w:rPr>
          <w:rFonts w:hint="eastAsia" w:ascii="宋体" w:hAnsi="宋体"/>
          <w:sz w:val="21"/>
          <w:szCs w:val="21"/>
          <w:highlight w:val="none"/>
        </w:rPr>
      </w:pPr>
      <w:r>
        <w:rPr>
          <w:rFonts w:hint="eastAsia" w:ascii="宋体" w:hAnsi="宋体"/>
          <w:sz w:val="21"/>
          <w:szCs w:val="21"/>
          <w:highlight w:val="none"/>
        </w:rPr>
        <w:t>1.项目招标文件</w:t>
      </w:r>
    </w:p>
    <w:p w14:paraId="13536412">
      <w:pPr>
        <w:pStyle w:val="9"/>
        <w:spacing w:line="360" w:lineRule="auto"/>
        <w:rPr>
          <w:rFonts w:hint="eastAsia" w:ascii="宋体" w:hAnsi="宋体"/>
          <w:sz w:val="21"/>
          <w:szCs w:val="21"/>
          <w:highlight w:val="none"/>
        </w:rPr>
      </w:pPr>
      <w:r>
        <w:rPr>
          <w:rFonts w:hint="eastAsia" w:ascii="宋体" w:hAnsi="宋体"/>
          <w:sz w:val="21"/>
          <w:szCs w:val="21"/>
          <w:highlight w:val="none"/>
        </w:rPr>
        <w:t>2.项目修改澄清文件</w:t>
      </w:r>
    </w:p>
    <w:p w14:paraId="6671C4A5">
      <w:pPr>
        <w:pStyle w:val="9"/>
        <w:spacing w:line="360" w:lineRule="auto"/>
        <w:rPr>
          <w:rFonts w:hint="eastAsia" w:ascii="宋体" w:hAnsi="宋体"/>
          <w:sz w:val="21"/>
          <w:szCs w:val="21"/>
          <w:highlight w:val="none"/>
        </w:rPr>
      </w:pPr>
      <w:r>
        <w:rPr>
          <w:rFonts w:hint="eastAsia" w:ascii="宋体" w:hAnsi="宋体"/>
          <w:sz w:val="21"/>
          <w:szCs w:val="21"/>
          <w:highlight w:val="none"/>
        </w:rPr>
        <w:t>3.项目投标文件</w:t>
      </w:r>
    </w:p>
    <w:p w14:paraId="3B695C9A">
      <w:pPr>
        <w:pStyle w:val="9"/>
        <w:spacing w:line="360" w:lineRule="auto"/>
        <w:rPr>
          <w:rFonts w:hint="eastAsia" w:ascii="宋体" w:hAnsi="宋体"/>
          <w:sz w:val="21"/>
          <w:szCs w:val="21"/>
          <w:highlight w:val="none"/>
        </w:rPr>
      </w:pPr>
      <w:r>
        <w:rPr>
          <w:rFonts w:hint="eastAsia" w:ascii="宋体" w:hAnsi="宋体"/>
          <w:sz w:val="21"/>
          <w:szCs w:val="21"/>
          <w:highlight w:val="none"/>
        </w:rPr>
        <w:t>4.中标通知书</w:t>
      </w:r>
    </w:p>
    <w:p w14:paraId="0D295A02">
      <w:pPr>
        <w:pStyle w:val="9"/>
        <w:spacing w:line="360" w:lineRule="auto"/>
        <w:rPr>
          <w:rFonts w:hint="eastAsia" w:ascii="宋体" w:hAnsi="宋体"/>
          <w:sz w:val="21"/>
          <w:szCs w:val="21"/>
          <w:highlight w:val="none"/>
        </w:rPr>
      </w:pPr>
      <w:r>
        <w:rPr>
          <w:rFonts w:hint="eastAsia" w:ascii="宋体" w:hAnsi="宋体"/>
          <w:sz w:val="21"/>
          <w:szCs w:val="21"/>
          <w:highlight w:val="none"/>
        </w:rPr>
        <w:t>5.其他</w:t>
      </w:r>
    </w:p>
    <w:p w14:paraId="228FF1F3">
      <w:pPr>
        <w:spacing w:line="360" w:lineRule="auto"/>
        <w:rPr>
          <w:rFonts w:hint="eastAsia" w:ascii="宋体" w:hAnsi="宋体"/>
          <w:szCs w:val="21"/>
          <w:highlight w:val="none"/>
        </w:rPr>
      </w:pPr>
    </w:p>
    <w:p w14:paraId="0FC1E373">
      <w:pPr>
        <w:spacing w:line="360" w:lineRule="auto"/>
        <w:ind w:firstLine="420" w:firstLineChars="200"/>
        <w:rPr>
          <w:rFonts w:ascii="宋体" w:hAnsi="宋体"/>
          <w:szCs w:val="21"/>
          <w:highlight w:val="none"/>
        </w:rPr>
      </w:pPr>
      <w:r>
        <w:rPr>
          <w:rFonts w:hint="eastAsia" w:ascii="宋体" w:hAnsi="宋体"/>
          <w:szCs w:val="21"/>
          <w:highlight w:val="none"/>
        </w:rPr>
        <w:t>甲方：   （盖章）</w:t>
      </w:r>
      <w:r>
        <w:rPr>
          <w:rFonts w:ascii="宋体" w:hAnsi="宋体"/>
          <w:szCs w:val="21"/>
          <w:highlight w:val="none"/>
        </w:rPr>
        <w:t xml:space="preserve">   </w:t>
      </w:r>
      <w:r>
        <w:rPr>
          <w:rFonts w:ascii="宋体" w:hAnsi="宋体"/>
          <w:szCs w:val="21"/>
          <w:highlight w:val="none"/>
        </w:rPr>
        <w:tab/>
      </w:r>
      <w:r>
        <w:rPr>
          <w:rFonts w:ascii="宋体" w:hAnsi="宋体"/>
          <w:szCs w:val="21"/>
          <w:highlight w:val="none"/>
        </w:rPr>
        <w:tab/>
      </w:r>
      <w:r>
        <w:rPr>
          <w:rFonts w:ascii="宋体" w:hAnsi="宋体"/>
          <w:szCs w:val="21"/>
          <w:highlight w:val="none"/>
        </w:rPr>
        <w:tab/>
      </w:r>
      <w:r>
        <w:rPr>
          <w:rFonts w:ascii="宋体" w:hAnsi="宋体"/>
          <w:szCs w:val="21"/>
          <w:highlight w:val="none"/>
        </w:rPr>
        <w:t xml:space="preserve">    </w:t>
      </w:r>
      <w:r>
        <w:rPr>
          <w:rFonts w:hint="eastAsia" w:ascii="宋体" w:hAnsi="宋体"/>
          <w:szCs w:val="21"/>
          <w:highlight w:val="none"/>
        </w:rPr>
        <w:t xml:space="preserve">   乙方：</w:t>
      </w:r>
      <w:r>
        <w:rPr>
          <w:rFonts w:ascii="宋体" w:hAnsi="宋体"/>
          <w:szCs w:val="21"/>
          <w:highlight w:val="none"/>
        </w:rPr>
        <w:t xml:space="preserve">   </w:t>
      </w:r>
      <w:r>
        <w:rPr>
          <w:rFonts w:hint="eastAsia" w:ascii="宋体" w:hAnsi="宋体"/>
          <w:szCs w:val="21"/>
          <w:highlight w:val="none"/>
        </w:rPr>
        <w:t>（盖章）</w:t>
      </w:r>
    </w:p>
    <w:p w14:paraId="7BEB25F5">
      <w:pPr>
        <w:spacing w:line="360" w:lineRule="auto"/>
        <w:ind w:firstLine="420" w:firstLineChars="200"/>
        <w:rPr>
          <w:rFonts w:ascii="宋体" w:hAnsi="宋体"/>
          <w:szCs w:val="21"/>
          <w:highlight w:val="none"/>
        </w:rPr>
      </w:pPr>
      <w:r>
        <w:rPr>
          <w:rFonts w:hint="eastAsia" w:ascii="宋体" w:hAnsi="宋体"/>
          <w:szCs w:val="21"/>
          <w:highlight w:val="none"/>
        </w:rPr>
        <w:t>法定代表人（委托代理人）：</w:t>
      </w:r>
      <w:r>
        <w:rPr>
          <w:rFonts w:ascii="宋体" w:hAnsi="宋体"/>
          <w:szCs w:val="21"/>
          <w:highlight w:val="none"/>
        </w:rPr>
        <w:t xml:space="preserve">           </w:t>
      </w:r>
      <w:r>
        <w:rPr>
          <w:rFonts w:hint="eastAsia" w:ascii="宋体" w:hAnsi="宋体"/>
          <w:szCs w:val="21"/>
          <w:highlight w:val="none"/>
        </w:rPr>
        <w:t xml:space="preserve">   法定代表人（委托代理人）：</w:t>
      </w:r>
    </w:p>
    <w:p w14:paraId="5A4CB159">
      <w:pPr>
        <w:spacing w:line="360" w:lineRule="auto"/>
        <w:ind w:firstLine="420" w:firstLineChars="200"/>
        <w:rPr>
          <w:rFonts w:ascii="宋体" w:hAnsi="宋体"/>
          <w:szCs w:val="21"/>
          <w:highlight w:val="none"/>
        </w:rPr>
      </w:pPr>
      <w:r>
        <w:rPr>
          <w:rFonts w:hint="eastAsia" w:ascii="宋体" w:hAnsi="宋体"/>
          <w:szCs w:val="21"/>
          <w:highlight w:val="none"/>
        </w:rPr>
        <w:t>地</w:t>
      </w:r>
      <w:r>
        <w:rPr>
          <w:rFonts w:ascii="宋体" w:hAnsi="宋体"/>
          <w:szCs w:val="21"/>
          <w:highlight w:val="none"/>
        </w:rPr>
        <w:t xml:space="preserve">    </w:t>
      </w:r>
      <w:r>
        <w:rPr>
          <w:rFonts w:hint="eastAsia" w:ascii="宋体" w:hAnsi="宋体"/>
          <w:szCs w:val="21"/>
          <w:highlight w:val="none"/>
        </w:rPr>
        <w:t>址：</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szCs w:val="21"/>
          <w:highlight w:val="none"/>
        </w:rPr>
        <w:t>地</w:t>
      </w:r>
      <w:r>
        <w:rPr>
          <w:rFonts w:ascii="宋体" w:hAnsi="宋体"/>
          <w:szCs w:val="21"/>
          <w:highlight w:val="none"/>
        </w:rPr>
        <w:t xml:space="preserve">    </w:t>
      </w:r>
      <w:r>
        <w:rPr>
          <w:rFonts w:hint="eastAsia" w:ascii="宋体" w:hAnsi="宋体"/>
          <w:szCs w:val="21"/>
          <w:highlight w:val="none"/>
        </w:rPr>
        <w:t>址：</w:t>
      </w:r>
    </w:p>
    <w:p w14:paraId="48C3CFCE">
      <w:pPr>
        <w:spacing w:line="360" w:lineRule="auto"/>
        <w:ind w:firstLine="420" w:firstLineChars="200"/>
        <w:rPr>
          <w:rFonts w:ascii="宋体" w:hAnsi="宋体"/>
          <w:szCs w:val="21"/>
          <w:highlight w:val="none"/>
        </w:rPr>
      </w:pPr>
      <w:r>
        <w:rPr>
          <w:rFonts w:hint="eastAsia" w:ascii="宋体" w:hAnsi="宋体"/>
          <w:szCs w:val="21"/>
          <w:highlight w:val="none"/>
        </w:rPr>
        <w:t>开户银行：</w:t>
      </w:r>
      <w:r>
        <w:rPr>
          <w:rFonts w:ascii="宋体" w:hAnsi="宋体"/>
          <w:szCs w:val="21"/>
          <w:highlight w:val="none"/>
        </w:rPr>
        <w:t xml:space="preserve">                         </w:t>
      </w:r>
      <w:r>
        <w:rPr>
          <w:rFonts w:hint="eastAsia" w:ascii="宋体" w:hAnsi="宋体"/>
          <w:szCs w:val="21"/>
          <w:highlight w:val="none"/>
        </w:rPr>
        <w:t xml:space="preserve">    开户银行：</w:t>
      </w:r>
    </w:p>
    <w:p w14:paraId="47CCEFB4">
      <w:pPr>
        <w:spacing w:line="360" w:lineRule="auto"/>
        <w:ind w:firstLine="420" w:firstLineChars="200"/>
        <w:rPr>
          <w:rFonts w:ascii="宋体" w:hAnsi="宋体"/>
          <w:szCs w:val="21"/>
          <w:highlight w:val="none"/>
        </w:rPr>
      </w:pPr>
      <w:r>
        <w:rPr>
          <w:rFonts w:hint="eastAsia" w:ascii="宋体" w:hAnsi="宋体"/>
          <w:szCs w:val="21"/>
          <w:highlight w:val="none"/>
        </w:rPr>
        <w:t>账号：</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szCs w:val="21"/>
          <w:highlight w:val="none"/>
        </w:rPr>
        <w:t>账号：</w:t>
      </w:r>
    </w:p>
    <w:p w14:paraId="6A86E1B7">
      <w:pPr>
        <w:spacing w:line="360" w:lineRule="auto"/>
        <w:ind w:firstLine="420" w:firstLineChars="200"/>
        <w:rPr>
          <w:rFonts w:ascii="宋体" w:hAnsi="宋体"/>
          <w:szCs w:val="21"/>
          <w:highlight w:val="none"/>
        </w:rPr>
      </w:pPr>
      <w:r>
        <w:rPr>
          <w:rFonts w:hint="eastAsia" w:ascii="宋体" w:hAnsi="宋体"/>
          <w:szCs w:val="21"/>
          <w:highlight w:val="none"/>
        </w:rPr>
        <w:t>电</w:t>
      </w:r>
      <w:r>
        <w:rPr>
          <w:rFonts w:ascii="宋体" w:hAnsi="宋体"/>
          <w:szCs w:val="21"/>
          <w:highlight w:val="none"/>
        </w:rPr>
        <w:t xml:space="preserve">    </w:t>
      </w:r>
      <w:r>
        <w:rPr>
          <w:rFonts w:hint="eastAsia" w:ascii="宋体" w:hAnsi="宋体"/>
          <w:szCs w:val="21"/>
          <w:highlight w:val="none"/>
        </w:rPr>
        <w:t>话：</w:t>
      </w:r>
      <w:r>
        <w:rPr>
          <w:rFonts w:ascii="宋体" w:hAnsi="宋体"/>
          <w:szCs w:val="21"/>
          <w:highlight w:val="none"/>
        </w:rPr>
        <w:t xml:space="preserve">                         </w:t>
      </w:r>
      <w:r>
        <w:rPr>
          <w:rFonts w:hint="eastAsia" w:ascii="宋体" w:hAnsi="宋体"/>
          <w:szCs w:val="21"/>
          <w:highlight w:val="none"/>
        </w:rPr>
        <w:t xml:space="preserve">    电</w:t>
      </w:r>
      <w:r>
        <w:rPr>
          <w:rFonts w:ascii="宋体" w:hAnsi="宋体"/>
          <w:szCs w:val="21"/>
          <w:highlight w:val="none"/>
        </w:rPr>
        <w:t xml:space="preserve">    </w:t>
      </w:r>
      <w:r>
        <w:rPr>
          <w:rFonts w:hint="eastAsia" w:ascii="宋体" w:hAnsi="宋体"/>
          <w:szCs w:val="21"/>
          <w:highlight w:val="none"/>
        </w:rPr>
        <w:t>话：</w:t>
      </w:r>
    </w:p>
    <w:p w14:paraId="6B5E5175">
      <w:pPr>
        <w:spacing w:line="360" w:lineRule="auto"/>
        <w:ind w:firstLine="420" w:firstLineChars="200"/>
        <w:rPr>
          <w:rFonts w:ascii="宋体" w:hAnsi="宋体"/>
          <w:szCs w:val="21"/>
          <w:highlight w:val="none"/>
        </w:rPr>
      </w:pPr>
      <w:r>
        <w:rPr>
          <w:rFonts w:hint="eastAsia" w:ascii="宋体" w:hAnsi="宋体"/>
          <w:szCs w:val="21"/>
          <w:highlight w:val="none"/>
        </w:rPr>
        <w:t>传</w:t>
      </w:r>
      <w:r>
        <w:rPr>
          <w:rFonts w:ascii="宋体" w:hAnsi="宋体"/>
          <w:szCs w:val="21"/>
          <w:highlight w:val="none"/>
        </w:rPr>
        <w:t xml:space="preserve">    </w:t>
      </w:r>
      <w:r>
        <w:rPr>
          <w:rFonts w:hint="eastAsia" w:ascii="宋体" w:hAnsi="宋体"/>
          <w:szCs w:val="21"/>
          <w:highlight w:val="none"/>
        </w:rPr>
        <w:t>真：</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szCs w:val="21"/>
          <w:highlight w:val="none"/>
        </w:rPr>
        <w:t>传</w:t>
      </w:r>
      <w:r>
        <w:rPr>
          <w:rFonts w:ascii="宋体" w:hAnsi="宋体"/>
          <w:szCs w:val="21"/>
          <w:highlight w:val="none"/>
        </w:rPr>
        <w:t xml:space="preserve">    </w:t>
      </w:r>
      <w:r>
        <w:rPr>
          <w:rFonts w:hint="eastAsia" w:ascii="宋体" w:hAnsi="宋体"/>
          <w:szCs w:val="21"/>
          <w:highlight w:val="none"/>
        </w:rPr>
        <w:t>真：</w:t>
      </w:r>
    </w:p>
    <w:p w14:paraId="48B41A9A">
      <w:pPr>
        <w:ind w:firstLine="420" w:firstLineChars="200"/>
      </w:pPr>
      <w:r>
        <w:rPr>
          <w:rFonts w:hint="eastAsia" w:ascii="宋体" w:hAnsi="宋体"/>
          <w:szCs w:val="21"/>
          <w:highlight w:val="none"/>
        </w:rPr>
        <w:t>签约日期：  年  月  日</w:t>
      </w:r>
      <w:r>
        <w:rPr>
          <w:rFonts w:ascii="宋体" w:hAnsi="宋体"/>
          <w:szCs w:val="21"/>
          <w:highlight w:val="none"/>
        </w:rPr>
        <w:t xml:space="preserve"> </w:t>
      </w:r>
      <w:r>
        <w:rPr>
          <w:rFonts w:ascii="宋体" w:hAnsi="宋体"/>
          <w:szCs w:val="21"/>
          <w:highlight w:val="none"/>
        </w:rPr>
        <w:tab/>
      </w:r>
      <w:r>
        <w:rPr>
          <w:rFonts w:ascii="宋体" w:hAnsi="宋体"/>
          <w:szCs w:val="21"/>
          <w:highlight w:val="none"/>
        </w:rPr>
        <w:tab/>
      </w:r>
      <w:r>
        <w:rPr>
          <w:rFonts w:ascii="宋体" w:hAnsi="宋体"/>
          <w:szCs w:val="21"/>
          <w:highlight w:val="none"/>
        </w:rPr>
        <w:tab/>
      </w:r>
      <w:r>
        <w:rPr>
          <w:rFonts w:hint="eastAsia" w:ascii="宋体" w:hAnsi="宋体"/>
          <w:szCs w:val="21"/>
          <w:highlight w:val="none"/>
        </w:rPr>
        <w:t xml:space="preserve">   </w:t>
      </w:r>
      <w:r>
        <w:rPr>
          <w:rFonts w:hint="eastAsia" w:ascii="宋体" w:hAnsi="宋体"/>
          <w:szCs w:val="21"/>
          <w:highlight w:val="none"/>
          <w:lang w:val="en-US" w:eastAsia="zh-CN"/>
        </w:rPr>
        <w:t xml:space="preserve">    </w:t>
      </w:r>
      <w:r>
        <w:rPr>
          <w:rFonts w:hint="eastAsia" w:ascii="宋体" w:hAnsi="宋体"/>
          <w:szCs w:val="21"/>
          <w:highlight w:val="none"/>
        </w:rPr>
        <w:t xml:space="preserve">签约日期：    年  月  </w:t>
      </w:r>
      <w:r>
        <w:rPr>
          <w:rFonts w:hint="eastAsia" w:ascii="宋体" w:hAnsi="宋体"/>
          <w:color w:val="000000"/>
          <w:szCs w:val="21"/>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_GB2312">
    <w:altName w:val="仿宋"/>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881AEB"/>
    <w:multiLevelType w:val="singleLevel"/>
    <w:tmpl w:val="9C881AEB"/>
    <w:lvl w:ilvl="0" w:tentative="0">
      <w:start w:val="4"/>
      <w:numFmt w:val="chineseCounting"/>
      <w:suff w:val="nothing"/>
      <w:lvlText w:val="%1、"/>
      <w:lvlJc w:val="left"/>
      <w:rPr>
        <w:rFonts w:hint="eastAsia"/>
      </w:rPr>
    </w:lvl>
  </w:abstractNum>
  <w:abstractNum w:abstractNumId="1">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37675"/>
    <w:rsid w:val="05304F9C"/>
    <w:rsid w:val="0CFC0647"/>
    <w:rsid w:val="23241EE8"/>
    <w:rsid w:val="31833929"/>
    <w:rsid w:val="463516D7"/>
    <w:rsid w:val="4EDC3E46"/>
    <w:rsid w:val="61E12537"/>
    <w:rsid w:val="6D773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line="579" w:lineRule="exact"/>
      <w:ind w:firstLine="800" w:firstLineChars="200"/>
    </w:pPr>
    <w:rPr>
      <w:rFonts w:ascii="Times New Roman" w:hAnsi="Times New Roman"/>
      <w:szCs w:val="32"/>
    </w:rPr>
  </w:style>
  <w:style w:type="paragraph" w:styleId="4">
    <w:name w:val="Normal Indent"/>
    <w:basedOn w:val="1"/>
    <w:next w:val="1"/>
    <w:qFormat/>
    <w:uiPriority w:val="0"/>
    <w:pPr>
      <w:ind w:firstLine="420"/>
    </w:pPr>
    <w:rPr>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样式 首行缩进:  2 字符"/>
    <w:basedOn w:val="1"/>
    <w:qFormat/>
    <w:uiPriority w:val="0"/>
    <w:pPr>
      <w:spacing w:line="400" w:lineRule="exact"/>
      <w:ind w:firstLine="200" w:firstLineChars="200"/>
    </w:pPr>
    <w:rPr>
      <w:rFonts w:cs="宋体"/>
      <w:sz w:val="24"/>
    </w:rPr>
  </w:style>
  <w:style w:type="paragraph" w:styleId="9">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2014</Words>
  <Characters>2082</Characters>
  <Lines>0</Lines>
  <Paragraphs>0</Paragraphs>
  <TotalTime>0</TotalTime>
  <ScaleCrop>false</ScaleCrop>
  <LinksUpToDate>false</LinksUpToDate>
  <CharactersWithSpaces>2400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2025-06-18T03:15:00Z</dcterms:created>
  <dc:creator>Administrator</dc:creator>
  <cp:lastModifiedBy>┏ ☞岗か子™</cp:lastModifiedBy>
  <dcterms:modified xsi:type="dcterms:W3CDTF">2025-11-18T02:07:28Z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eyJoZGlkIjoiNjIxMDI2NjM3MzgyYzQ0NTJmZDVhODRjOWE1OTQyYWMiLCJ1c2VySWQiOiIyMzMyNDUzMjgifQ==</vt:lpwstr>
  </property>
  <property fmtid="{D5CDD505-2E9C-101B-9397-08002B2CF9AE}" pid="4" name="ICV">
    <vt:lpwstr>B3BF24ACD49B4419999E6A961F9C5AFD_12</vt:lpwstr>
  </property>
</Properties>
</file>