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版本号：RH采字【20251117】号20251121001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高陵区大气污染防治综合项目完善合署办公硬件配备项目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RH采字【20251117】号</w:t>
      </w:r>
      <w:r>
        <w:br/>
      </w:r>
      <w:r>
        <w:br/>
      </w:r>
      <w:r>
        <w:br/>
      </w:r>
    </w:p>
    <w:p>
      <w:pPr>
        <w:pStyle w:val="null3"/>
        <w:jc w:val="center"/>
        <w:outlineLvl w:val="2"/>
      </w:pPr>
      <w:r>
        <w:rPr>
          <w:rFonts w:ascii="仿宋_GB2312" w:hAnsi="仿宋_GB2312" w:cs="仿宋_GB2312" w:eastAsia="仿宋_GB2312"/>
          <w:sz w:val="28"/>
          <w:b/>
        </w:rPr>
        <w:t>西安市生态环境局高陵分局</w:t>
      </w:r>
    </w:p>
    <w:p>
      <w:pPr>
        <w:pStyle w:val="null3"/>
        <w:jc w:val="center"/>
        <w:outlineLvl w:val="2"/>
      </w:pPr>
      <w:r>
        <w:rPr>
          <w:rFonts w:ascii="仿宋_GB2312" w:hAnsi="仿宋_GB2312" w:cs="仿宋_GB2312" w:eastAsia="仿宋_GB2312"/>
          <w:sz w:val="28"/>
          <w:b/>
        </w:rPr>
        <w:t>瑞恒项目管理有限公司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2025年11月21日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瑞恒项目管理有限公司</w:t>
      </w:r>
      <w:r>
        <w:rPr>
          <w:rFonts w:ascii="仿宋_GB2312" w:hAnsi="仿宋_GB2312" w:cs="仿宋_GB2312" w:eastAsia="仿宋_GB2312"/>
        </w:rPr>
        <w:t>（以下简称“代理机构”）受</w:t>
      </w:r>
      <w:r>
        <w:rPr>
          <w:rFonts w:ascii="仿宋_GB2312" w:hAnsi="仿宋_GB2312" w:cs="仿宋_GB2312" w:eastAsia="仿宋_GB2312"/>
        </w:rPr>
        <w:t>西安市生态环境局高陵分局</w:t>
      </w:r>
      <w:r>
        <w:rPr>
          <w:rFonts w:ascii="仿宋_GB2312" w:hAnsi="仿宋_GB2312" w:cs="仿宋_GB2312" w:eastAsia="仿宋_GB2312"/>
        </w:rPr>
        <w:t>委托，拟对</w:t>
      </w:r>
      <w:r>
        <w:rPr>
          <w:rFonts w:ascii="仿宋_GB2312" w:hAnsi="仿宋_GB2312" w:cs="仿宋_GB2312" w:eastAsia="仿宋_GB2312"/>
        </w:rPr>
        <w:t>高陵区大气污染防治综合项目完善合署办公硬件配备项目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RH采字【20251117】号</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高陵区大气污染防治综合项目完善合署办公硬件配备项目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项目采购人为西安市生态环境局高陵分局（代建人：西安市高陵城市投资集团有限公司），西安市生态环境局高陵分局（代建人：西安市高陵城市投资集团有限公司）全权负责本项目采购事宜。本次招标主要内容包括办公场所装饰装修工程、给排水工程、电气工程等内容。</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采购包1（高陵区大气污染防治综合项目完善合署办公硬件配备项目）：属于专门面向中小企业采购。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1、企业资质：具备行政主管部门颁发的建筑工程施工总承包三级及以上资质，并具备有效的安全生产许可证；</w:t>
      </w:r>
    </w:p>
    <w:p>
      <w:pPr>
        <w:pStyle w:val="null3"/>
      </w:pPr>
      <w:r>
        <w:rPr>
          <w:rFonts w:ascii="仿宋_GB2312" w:hAnsi="仿宋_GB2312" w:cs="仿宋_GB2312" w:eastAsia="仿宋_GB2312"/>
        </w:rPr>
        <w:t>2、拟派项目负责人：拟派项目负责人资质和专业要求：拟派项目经理须具备注册在本企业的建筑工程专业二级及以上注册建造师执业资格，具备有效的安全生产考核合格证书B 证（建安 B 证），在本单位注册且无在建项目，提供投标文件截止时间一年内至少三个月的社保证明；</w:t>
      </w:r>
    </w:p>
    <w:p>
      <w:pPr>
        <w:pStyle w:val="null3"/>
      </w:pPr>
      <w:r>
        <w:rPr>
          <w:rFonts w:ascii="仿宋_GB2312" w:hAnsi="仿宋_GB2312" w:cs="仿宋_GB2312" w:eastAsia="仿宋_GB2312"/>
        </w:rPr>
        <w:t>3、陕西省建筑市场监管与诚信信息发布平台备案：陕西省建筑市场监管与诚信信息发布平台备案：供应商基本信息及项目经理（注册建造师） 人员基本信息应在“陕西建设网（ http://js.shaanxi.gov.cn/ ）陕西省建筑市场监管与诚信信息发布平台可查询， 提供相关信息截图；</w:t>
      </w:r>
    </w:p>
    <w:p>
      <w:pPr>
        <w:pStyle w:val="null3"/>
      </w:pPr>
      <w:r>
        <w:rPr>
          <w:rFonts w:ascii="仿宋_GB2312" w:hAnsi="仿宋_GB2312" w:cs="仿宋_GB2312" w:eastAsia="仿宋_GB2312"/>
        </w:rPr>
        <w:t>4、声明函：本项目不接受联合体投标；单位负责人为同一人或者存在控股、管理关系的不同单位，不得参加同一项目的投标。</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西安市生态环境局高陵分局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西安市高陵区鹿歌路</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710200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刘旭</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18792796458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瑞恒项目管理有限公司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陕西省西安市雁塔区陕西省西安市曲江新区雁翔路3269号旺座曲江D座30层3001号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刘菲</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18710396642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采购包1：1,473,772.79元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无产品</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无产品</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无产品</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收费标准：中标供应商在领取《中标通知书》之前，向采购代理机构一次付清招标代理服务费。采购代理服务费的金额参照《招标代理服务收费管理暂行办法》计价格[2002]1980号文、《国家发展改革委关于降低部分建设项目收费标准规范收费行为等有关问题的通知》发改价格[2011]534号文和《陕西省物价局陕西省住房和城乡建设厅关于我省工程造价咨询服务收费标准有关问题的通知》（陕价行发〔2014〕88号）文件规定，以中标价为基数，按工程类标准计取代理服务费。</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西安市生态环境局高陵分局</w:t>
      </w:r>
      <w:r>
        <w:rPr>
          <w:rFonts w:ascii="仿宋_GB2312" w:hAnsi="仿宋_GB2312" w:cs="仿宋_GB2312" w:eastAsia="仿宋_GB2312"/>
        </w:rPr>
        <w:t>和</w:t>
      </w:r>
      <w:r>
        <w:rPr>
          <w:rFonts w:ascii="仿宋_GB2312" w:hAnsi="仿宋_GB2312" w:cs="仿宋_GB2312" w:eastAsia="仿宋_GB2312"/>
        </w:rPr>
        <w:t>瑞恒项目管理有限公司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西安市生态环境局高陵分局</w:t>
      </w:r>
      <w:r>
        <w:rPr>
          <w:rFonts w:ascii="仿宋_GB2312" w:hAnsi="仿宋_GB2312" w:cs="仿宋_GB2312" w:eastAsia="仿宋_GB2312"/>
        </w:rPr>
        <w:t>负责解释。除上述磋商文件内容，其他内容由</w:t>
      </w:r>
      <w:r>
        <w:rPr>
          <w:rFonts w:ascii="仿宋_GB2312" w:hAnsi="仿宋_GB2312" w:cs="仿宋_GB2312" w:eastAsia="仿宋_GB2312"/>
        </w:rPr>
        <w:t>瑞恒项目管理有限公司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西安市生态环境局高陵分局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瑞恒项目管理有限公司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符合国家现行有关施工质量验收规范“合格”标准。</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瑞恒项目管理有限公司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瑞恒项目管理有限公司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瑞恒项目管理有限公司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联系人：刘菲</w:t>
      </w:r>
    </w:p>
    <w:p>
      <w:pPr>
        <w:pStyle w:val="null3"/>
      </w:pPr>
      <w:r>
        <w:rPr>
          <w:rFonts w:ascii="仿宋_GB2312" w:hAnsi="仿宋_GB2312" w:cs="仿宋_GB2312" w:eastAsia="仿宋_GB2312"/>
        </w:rPr>
        <w:t>联系电话：18710396642</w:t>
      </w:r>
    </w:p>
    <w:p>
      <w:pPr>
        <w:pStyle w:val="null3"/>
      </w:pPr>
      <w:r>
        <w:rPr>
          <w:rFonts w:ascii="仿宋_GB2312" w:hAnsi="仿宋_GB2312" w:cs="仿宋_GB2312" w:eastAsia="仿宋_GB2312"/>
        </w:rPr>
        <w:t>地址：陕西省西安市曲江新区雁翔路3269号旺座曲江D座30层3001号</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1,473,772.79</w:t>
      </w:r>
    </w:p>
    <w:p>
      <w:pPr>
        <w:pStyle w:val="null3"/>
      </w:pPr>
      <w:r>
        <w:rPr>
          <w:rFonts w:ascii="仿宋_GB2312" w:hAnsi="仿宋_GB2312" w:cs="仿宋_GB2312" w:eastAsia="仿宋_GB2312"/>
        </w:rPr>
        <w:t>采购包最高限价（元）: 1,473,772.79</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工程</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1,473,772.79</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标的名称：工程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 xml:space="preserve">       </w:t>
            </w:r>
            <w:r>
              <w:rPr>
                <w:rFonts w:ascii="仿宋_GB2312" w:hAnsi="仿宋_GB2312" w:cs="仿宋_GB2312" w:eastAsia="仿宋_GB2312"/>
                <w:sz w:val="21"/>
              </w:rPr>
              <w:t>本项目采购人为西安市生态环境局高陵分局（代建人：西安市高陵城市投资集团有限公司），西安市生态环境局高陵分局（代建人：西安市高陵城市投资集团有限公司）全权负责本项目采购事宜。本次招标主要内容包括办公场所装饰装修工程、给排水工程、电气工程等内容。</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1"/>
              </w:rPr>
              <w:t>工期：</w:t>
            </w:r>
            <w:r>
              <w:rPr>
                <w:rFonts w:ascii="仿宋_GB2312" w:hAnsi="仿宋_GB2312" w:cs="仿宋_GB2312" w:eastAsia="仿宋_GB2312"/>
                <w:sz w:val="21"/>
              </w:rPr>
              <w:t>3个月</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符合国家现行有关施工质量验收规范“合格”标准。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采购标的对应的中小企业划分标准所属行业为建筑业。建筑业的划型标准为：营业收入80000万元以下或资产总额80000万元以下的为中小微型企业。其中，营业收入6000万元及以上，且资产总额5000万元及以上的为中型企业；营业收入300万元及以上，且资产总额300万元及以上的为小型企业；营业收入300万元以下或资产总额300万元以下的为微型企业。 2.落实的政府采购政策： （1）《政府采购促进中小企业发展管理办法》（财库〔2020〕46号）； （2）《关于进一步加大政府采购支持中小企业力度的通知》（财库〔2022〕19号）； （3）《财政部司法部关于政府采购支持监狱企业发展有关问题的通知》（财库〔2014〕68号）； （4）《国务院办公厅关于建立政府强制采购节能产品制度的通知》（国办发〔2007〕51号）； （5）《关于印发环境标志产品政府采购品目清单的通知》（财库〔2019〕18号）； （6）《关于印发节能产品政府采购品目清单的通知》（财库〔2019〕19号）； （7）《关于促进残疾人就业政府采购政策的通知》财库〔2017〕141号； （8）《关于调整优化节能产品、环境标志产品政府采购执行机制的通知》（财库〔2019〕9号）； （9）《财政部农业农村部国家乡村振兴局关于运用政府采购政策支持乡村产业振兴的通知》（财库〔2021〕19号）； （10）《陕西省中小企业政府采购信用融资办法》（陕财办采〔2018〕23号）； （11）《陕西省财政厅关于加快推进我省中小企业政府采购信用融资工作的通知》（陕财办采〔2020〕15号）； （12）《陕西省财政厅关于进一步加强政府绿色采购有关问题的通知》（陕财办采〔2021〕29号）； （13）其他需要落实的政府采购政策。</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1、具有独立承担民事责任能力的法人、其他组织或自然人，提供合法有效的统一社会信用代码营业执照（事业单位法人证书/专业服务机构执业许可证/民办非企业单位登记证书，自然人提供身份证）；2、财务状况报告：法人提供会计师事务所出具的完整的2024年度审计报告（成立时间至提交投标文件截止时间不足一年的可提供成立后任意时段的资产负债表），或提交自2025年1月1日以来银行出具的资信证明，或信用担保机构出具的投标担保函（以上三种形式的资料提供任何一种即可）；其他组织和自然人提供银行出具的资信证明或财务报表；3、税收缴纳证明：法人提供自2025年1月1日以来至少一个月的纳税证明或完税证明（增值税、企业所得税至少一种），纳税证明或完税证明上应有代收机构或税务机关的公章或业务专用章；其他组织和自然人提供自2025年1月1日以来至少一个月缴纳税收的凭据；依法免税的投标人应提供相关文件证明；4、社会保障资金缴纳证明：提供自2025年1月1日以来至少一个月已缴纳的社会保障资金的证明（社会保障资金缴存单据或社保机构开具的社会保险参保缴费情况证明等）；依法不需要缴纳社会保障资金的投标人应提供相关文件证明；5、提供参加本次政府采购活动前三年内在经营活动中没有重大违法记录的书面声明及无不良信用记录查询结果（未被“信用中国”网站（www.creditchina.gov.cn）列入重大税收违法失信主体；不得被“中国执行信息公开网”（zxgk.court.gov.cn）列入失信被执行人名单；不得被“中国政府采购网”（www.ccgp.gov.cn）列入政府采购严重违法失信行为记录名单）；（提供“书面声明”、“信用中国”、“中国执行信息公开网”、“中国政府采购网”相应版块的查询结果截图加盖投标人公章）。</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法人提供会计师事务所出具的完整的2024年度审计报告（成立时间至提交投标文件截止时间不足一年的可提供成立后任意时段的资产负债表），或提交自2025年1月1日以来银行出具的资信证明，或信用担保机构出具的投标担保函（以上三种形式的资料提供任何一种即可）；其他组织和自然人提供银行出具的资信证明或财务报表。</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具备行政主管部门颁发的建筑工程施工总承包三级及以上资质，并具备有效的安全生产许可证；</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拟派项目负责人</w:t>
            </w:r>
          </w:p>
        </w:tc>
        <w:tc>
          <w:tcPr>
            <w:tcW w:type="dxa" w:w="3322"/>
          </w:tcPr>
          <w:p>
            <w:pPr>
              <w:pStyle w:val="null3"/>
            </w:pPr>
            <w:r>
              <w:rPr>
                <w:rFonts w:ascii="仿宋_GB2312" w:hAnsi="仿宋_GB2312" w:cs="仿宋_GB2312" w:eastAsia="仿宋_GB2312"/>
              </w:rPr>
              <w:t>拟派项目负责人资质和专业要求：拟派项目经理须具备注册在本企业的建筑工程专业二级及以上注册建造师执业资格，具备有效的安全生产考核合格证书B 证（建安 B 证），在本单位注册且无在建项目，提供投标文件截止时间一年内至少三个月的社保证明；</w:t>
            </w:r>
          </w:p>
        </w:tc>
        <w:tc>
          <w:tcPr>
            <w:tcW w:type="dxa" w:w="1661"/>
          </w:tcPr>
          <w:p>
            <w:pPr>
              <w:pStyle w:val="null3"/>
            </w:pPr>
            <w:r>
              <w:rPr>
                <w:rFonts w:ascii="仿宋_GB2312" w:hAnsi="仿宋_GB2312" w:cs="仿宋_GB2312" w:eastAsia="仿宋_GB2312"/>
              </w:rPr>
              <w:t>供应商应提交的相关资格证明材料 主要人员简历表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陕西省建筑市场监管与诚信信息发布平台备案</w:t>
            </w:r>
          </w:p>
        </w:tc>
        <w:tc>
          <w:tcPr>
            <w:tcW w:type="dxa" w:w="3322"/>
          </w:tcPr>
          <w:p>
            <w:pPr>
              <w:pStyle w:val="null3"/>
            </w:pPr>
            <w:r>
              <w:rPr>
                <w:rFonts w:ascii="仿宋_GB2312" w:hAnsi="仿宋_GB2312" w:cs="仿宋_GB2312" w:eastAsia="仿宋_GB2312"/>
              </w:rPr>
              <w:t>陕西省建筑市场监管与诚信信息发布平台备案：供应商基本信息及项目经理（注册建造师） 人员基本信息应在“陕西建设网（ http://js.shaanxi.gov.cn/ ）陕西省建筑市场监管与诚信信息发布平台可查询， 提供相关信息截图；</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声明函</w:t>
            </w:r>
          </w:p>
        </w:tc>
        <w:tc>
          <w:tcPr>
            <w:tcW w:type="dxa" w:w="3322"/>
          </w:tcPr>
          <w:p>
            <w:pPr>
              <w:pStyle w:val="null3"/>
            </w:pPr>
            <w:r>
              <w:rPr>
                <w:rFonts w:ascii="仿宋_GB2312" w:hAnsi="仿宋_GB2312" w:cs="仿宋_GB2312" w:eastAsia="仿宋_GB2312"/>
              </w:rPr>
              <w:t>本项目不接受联合体投标；单位负责人为同一人或者存在控股、管理关系的不同单位，不得参加同一项目的投标。</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授权委托书</w:t>
            </w:r>
          </w:p>
        </w:tc>
        <w:tc>
          <w:tcPr>
            <w:tcW w:type="dxa" w:w="3322"/>
          </w:tcPr>
          <w:p>
            <w:pPr>
              <w:pStyle w:val="null3"/>
            </w:pPr>
            <w:r>
              <w:rPr>
                <w:rFonts w:ascii="仿宋_GB2312" w:hAnsi="仿宋_GB2312" w:cs="仿宋_GB2312" w:eastAsia="仿宋_GB2312"/>
              </w:rPr>
              <w:t>法定代表人授权委托书：法定代表人参加投标的，须出示身份证；法定代表人授权他人参加投标的，须提供法定代表人授权委托书、被授权人提交投标文件截止时间前两年内任意一个月的社会保障资金（养老保险或医疗保险）的缴纳证明及被授权人身份证。</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与项目的一致性</w:t>
            </w:r>
          </w:p>
        </w:tc>
        <w:tc>
          <w:tcPr>
            <w:tcW w:type="dxa" w:w="3322"/>
          </w:tcPr>
          <w:p>
            <w:pPr>
              <w:pStyle w:val="null3"/>
            </w:pPr>
            <w:r>
              <w:rPr>
                <w:rFonts w:ascii="仿宋_GB2312" w:hAnsi="仿宋_GB2312" w:cs="仿宋_GB2312" w:eastAsia="仿宋_GB2312"/>
              </w:rPr>
              <w:t>至少以下三处的项目名称、项目编号、合同包（未分合同包的除外）与本项目完全一致： （1）投标文件封面 （2）投标函 （3）法定代表人（负责人）委托授权书\身份证明</w:t>
            </w:r>
          </w:p>
        </w:tc>
        <w:tc>
          <w:tcPr>
            <w:tcW w:type="dxa" w:w="1661"/>
          </w:tcPr>
          <w:p>
            <w:pPr>
              <w:pStyle w:val="null3"/>
            </w:pPr>
            <w:r>
              <w:rPr>
                <w:rFonts w:ascii="仿宋_GB2312" w:hAnsi="仿宋_GB2312" w:cs="仿宋_GB2312" w:eastAsia="仿宋_GB2312"/>
              </w:rPr>
              <w:t>响应文件封面 报价函 供应商应提交的相关资格证明材料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投标文件组成</w:t>
            </w:r>
          </w:p>
        </w:tc>
        <w:tc>
          <w:tcPr>
            <w:tcW w:type="dxa" w:w="3322"/>
          </w:tcPr>
          <w:p>
            <w:pPr>
              <w:pStyle w:val="null3"/>
            </w:pPr>
            <w:r>
              <w:rPr>
                <w:rFonts w:ascii="仿宋_GB2312" w:hAnsi="仿宋_GB2312" w:cs="仿宋_GB2312" w:eastAsia="仿宋_GB2312"/>
              </w:rPr>
              <w:t>投标文件完整且编排有序，投标内容基本完整，无重大错漏；</w:t>
            </w:r>
          </w:p>
        </w:tc>
        <w:tc>
          <w:tcPr>
            <w:tcW w:type="dxa" w:w="1661"/>
          </w:tcPr>
          <w:p>
            <w:pPr>
              <w:pStyle w:val="null3"/>
            </w:pPr>
            <w:r>
              <w:rPr>
                <w:rFonts w:ascii="仿宋_GB2312" w:hAnsi="仿宋_GB2312" w:cs="仿宋_GB2312" w:eastAsia="仿宋_GB2312"/>
              </w:rPr>
              <w:t>响应文件封面 已标价工程量清单 报价函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同时满足以下条款： （1）货币单位符合招标文件要求（2）报价符合唯一性要求 （3）未超出采购预算或最高限价</w:t>
            </w:r>
          </w:p>
        </w:tc>
        <w:tc>
          <w:tcPr>
            <w:tcW w:type="dxa" w:w="1661"/>
          </w:tcPr>
          <w:p>
            <w:pPr>
              <w:pStyle w:val="null3"/>
            </w:pPr>
            <w:r>
              <w:rPr>
                <w:rFonts w:ascii="仿宋_GB2312" w:hAnsi="仿宋_GB2312" w:cs="仿宋_GB2312" w:eastAsia="仿宋_GB2312"/>
              </w:rPr>
              <w:t>已标价工程量清单 报价函 技术服务合同条款及其他商务要求应答表 标的清单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投标有效期满足竞争性磋商文件的要求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合同条款</w:t>
            </w:r>
          </w:p>
        </w:tc>
        <w:tc>
          <w:tcPr>
            <w:tcW w:type="dxa" w:w="3322"/>
          </w:tcPr>
          <w:p>
            <w:pPr>
              <w:pStyle w:val="null3"/>
            </w:pPr>
            <w:r>
              <w:rPr>
                <w:rFonts w:ascii="仿宋_GB2312" w:hAnsi="仿宋_GB2312" w:cs="仿宋_GB2312" w:eastAsia="仿宋_GB2312"/>
              </w:rPr>
              <w:t>完全理解并响应采购文件合同条款的要求，且未含有采购人不能接受的附加条件的。</w:t>
            </w:r>
          </w:p>
        </w:tc>
        <w:tc>
          <w:tcPr>
            <w:tcW w:type="dxa" w:w="1661"/>
          </w:tcPr>
          <w:p>
            <w:pPr>
              <w:pStyle w:val="null3"/>
            </w:pPr>
            <w:r>
              <w:rPr>
                <w:rFonts w:ascii="仿宋_GB2312" w:hAnsi="仿宋_GB2312" w:cs="仿宋_GB2312" w:eastAsia="仿宋_GB2312"/>
              </w:rPr>
              <w:t>技术服务合同条款及其他商务要求应答表</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符合法律、法规和竞争性磋商中规定的其他实质性要求</w:t>
            </w:r>
          </w:p>
        </w:tc>
        <w:tc>
          <w:tcPr>
            <w:tcW w:type="dxa" w:w="3322"/>
          </w:tcPr>
          <w:p>
            <w:pPr>
              <w:pStyle w:val="null3"/>
            </w:pPr>
            <w:r>
              <w:rPr>
                <w:rFonts w:ascii="仿宋_GB2312" w:hAnsi="仿宋_GB2312" w:cs="仿宋_GB2312" w:eastAsia="仿宋_GB2312"/>
              </w:rPr>
              <w:t>是否符合法律、法规和竞争性磋商文件中规定的其他实质性要求</w:t>
            </w:r>
          </w:p>
        </w:tc>
        <w:tc>
          <w:tcPr>
            <w:tcW w:type="dxa" w:w="1661"/>
          </w:tcPr>
          <w:p>
            <w:pPr>
              <w:pStyle w:val="null3"/>
            </w:pPr>
            <w:r>
              <w:rPr>
                <w:rFonts w:ascii="仿宋_GB2312" w:hAnsi="仿宋_GB2312" w:cs="仿宋_GB2312" w:eastAsia="仿宋_GB2312"/>
              </w:rPr>
              <w:t>报价函 响应函</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确保工程质量的技术组织措施</w:t>
            </w:r>
          </w:p>
        </w:tc>
        <w:tc>
          <w:tcPr>
            <w:tcW w:type="dxa" w:w="2492"/>
          </w:tcPr>
          <w:p>
            <w:pPr>
              <w:pStyle w:val="null3"/>
            </w:pPr>
            <w:r>
              <w:rPr>
                <w:rFonts w:ascii="仿宋_GB2312" w:hAnsi="仿宋_GB2312" w:cs="仿宋_GB2312" w:eastAsia="仿宋_GB2312"/>
              </w:rPr>
              <w:t>1）措施内容完整、全面、可行性较强，得(5-8]分； 2) 措施内容较完善，可行性一般，得(3-5]分； 3) 措施内容一般，可行性较差，得[1-3]分。 未提供的不计分。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投标文件格式——技术方案.docx</w:t>
            </w:r>
          </w:p>
        </w:tc>
      </w:tr>
      <w:tr>
        <w:tc>
          <w:tcPr>
            <w:tcW w:type="dxa" w:w="831"/>
            <w:vMerge/>
          </w:tcPr>
          <w:p/>
        </w:tc>
        <w:tc>
          <w:tcPr>
            <w:tcW w:type="dxa" w:w="1661"/>
          </w:tcPr>
          <w:p>
            <w:pPr>
              <w:pStyle w:val="null3"/>
            </w:pPr>
            <w:r>
              <w:rPr>
                <w:rFonts w:ascii="仿宋_GB2312" w:hAnsi="仿宋_GB2312" w:cs="仿宋_GB2312" w:eastAsia="仿宋_GB2312"/>
              </w:rPr>
              <w:t>确保安全施工的技术组织措施</w:t>
            </w:r>
          </w:p>
        </w:tc>
        <w:tc>
          <w:tcPr>
            <w:tcW w:type="dxa" w:w="2492"/>
          </w:tcPr>
          <w:p>
            <w:pPr>
              <w:pStyle w:val="null3"/>
            </w:pPr>
            <w:r>
              <w:rPr>
                <w:rFonts w:ascii="仿宋_GB2312" w:hAnsi="仿宋_GB2312" w:cs="仿宋_GB2312" w:eastAsia="仿宋_GB2312"/>
              </w:rPr>
              <w:t>1）措施内容完整、全面、可行性较强，得(5-8]分； 2) 措施内容较完善，可行性一般，得(3-5]分； 3) 措施内容一般，可行性较差，得[1-3]分。 未提供的不计分。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投标文件格式——技术方案.docx</w:t>
            </w:r>
          </w:p>
        </w:tc>
      </w:tr>
      <w:tr>
        <w:tc>
          <w:tcPr>
            <w:tcW w:type="dxa" w:w="831"/>
            <w:vMerge/>
          </w:tcPr>
          <w:p/>
        </w:tc>
        <w:tc>
          <w:tcPr>
            <w:tcW w:type="dxa" w:w="1661"/>
          </w:tcPr>
          <w:p>
            <w:pPr>
              <w:pStyle w:val="null3"/>
            </w:pPr>
            <w:r>
              <w:rPr>
                <w:rFonts w:ascii="仿宋_GB2312" w:hAnsi="仿宋_GB2312" w:cs="仿宋_GB2312" w:eastAsia="仿宋_GB2312"/>
              </w:rPr>
              <w:t>确保文明施工的技术组织措施及环境保护措施</w:t>
            </w:r>
          </w:p>
        </w:tc>
        <w:tc>
          <w:tcPr>
            <w:tcW w:type="dxa" w:w="2492"/>
          </w:tcPr>
          <w:p>
            <w:pPr>
              <w:pStyle w:val="null3"/>
            </w:pPr>
            <w:r>
              <w:rPr>
                <w:rFonts w:ascii="仿宋_GB2312" w:hAnsi="仿宋_GB2312" w:cs="仿宋_GB2312" w:eastAsia="仿宋_GB2312"/>
              </w:rPr>
              <w:t>1）措施内容完整、全面、可行性较强，得(5-8]分； 2) 措施内容较完善，可行性一般，得(3-5]分； 3) 措施内容一般，可行性较差，得[1-3]分。 未提供的不计分。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投标文件格式——技术方案.docx</w:t>
            </w:r>
          </w:p>
        </w:tc>
      </w:tr>
      <w:tr>
        <w:tc>
          <w:tcPr>
            <w:tcW w:type="dxa" w:w="831"/>
            <w:vMerge/>
          </w:tcPr>
          <w:p/>
        </w:tc>
        <w:tc>
          <w:tcPr>
            <w:tcW w:type="dxa" w:w="1661"/>
          </w:tcPr>
          <w:p>
            <w:pPr>
              <w:pStyle w:val="null3"/>
            </w:pPr>
            <w:r>
              <w:rPr>
                <w:rFonts w:ascii="仿宋_GB2312" w:hAnsi="仿宋_GB2312" w:cs="仿宋_GB2312" w:eastAsia="仿宋_GB2312"/>
              </w:rPr>
              <w:t>确保工期的技术组织措施</w:t>
            </w:r>
          </w:p>
        </w:tc>
        <w:tc>
          <w:tcPr>
            <w:tcW w:type="dxa" w:w="2492"/>
          </w:tcPr>
          <w:p>
            <w:pPr>
              <w:pStyle w:val="null3"/>
            </w:pPr>
            <w:r>
              <w:rPr>
                <w:rFonts w:ascii="仿宋_GB2312" w:hAnsi="仿宋_GB2312" w:cs="仿宋_GB2312" w:eastAsia="仿宋_GB2312"/>
              </w:rPr>
              <w:t>1）措施内容完整、全面、可行性较强，得(5-8]分； 2) 措施内容较完善，可行性一般，得(3-5]分； 3) 措施内容一般，可行性较差，得[1-3]分。 未提供的不计分。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投标文件格式——技术方案.docx</w:t>
            </w:r>
          </w:p>
        </w:tc>
      </w:tr>
      <w:tr>
        <w:tc>
          <w:tcPr>
            <w:tcW w:type="dxa" w:w="831"/>
            <w:vMerge/>
          </w:tcP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1）方案内容完整、全面、可行性较强，得(6-9]分； 2) 方案内容较完善，可行性一般，得(3-6]分； 3) 方案内容一般，可行性较差，得[1-3]分。 未提供的不计分。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投标文件格式——技术方案.docx</w:t>
            </w:r>
          </w:p>
        </w:tc>
      </w:tr>
      <w:tr>
        <w:tc>
          <w:tcPr>
            <w:tcW w:type="dxa" w:w="831"/>
            <w:vMerge/>
          </w:tcPr>
          <w:p/>
        </w:tc>
        <w:tc>
          <w:tcPr>
            <w:tcW w:type="dxa" w:w="1661"/>
          </w:tcPr>
          <w:p>
            <w:pPr>
              <w:pStyle w:val="null3"/>
            </w:pPr>
            <w:r>
              <w:rPr>
                <w:rFonts w:ascii="仿宋_GB2312" w:hAnsi="仿宋_GB2312" w:cs="仿宋_GB2312" w:eastAsia="仿宋_GB2312"/>
              </w:rPr>
              <w:t>施工机械配备和材料投入计划</w:t>
            </w:r>
          </w:p>
        </w:tc>
        <w:tc>
          <w:tcPr>
            <w:tcW w:type="dxa" w:w="2492"/>
          </w:tcPr>
          <w:p>
            <w:pPr>
              <w:pStyle w:val="null3"/>
            </w:pPr>
            <w:r>
              <w:rPr>
                <w:rFonts w:ascii="仿宋_GB2312" w:hAnsi="仿宋_GB2312" w:cs="仿宋_GB2312" w:eastAsia="仿宋_GB2312"/>
              </w:rPr>
              <w:t>1）内容完整、全面、可行性较强，得(5-8]分； 2) 内容较完善，可行性一般，得(3-5]分； 3) 内容一般，可行性较差，得[1-3]分。 未提供的不计分。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投标文件格式——技术方案.docx</w:t>
            </w:r>
          </w:p>
        </w:tc>
      </w:tr>
      <w:tr>
        <w:tc>
          <w:tcPr>
            <w:tcW w:type="dxa" w:w="831"/>
            <w:vMerge/>
          </w:tcPr>
          <w:p/>
        </w:tc>
        <w:tc>
          <w:tcPr>
            <w:tcW w:type="dxa" w:w="1661"/>
          </w:tcPr>
          <w:p>
            <w:pPr>
              <w:pStyle w:val="null3"/>
            </w:pPr>
            <w:r>
              <w:rPr>
                <w:rFonts w:ascii="仿宋_GB2312" w:hAnsi="仿宋_GB2312" w:cs="仿宋_GB2312" w:eastAsia="仿宋_GB2312"/>
              </w:rPr>
              <w:t>施工进度表或施工网络图</w:t>
            </w:r>
          </w:p>
        </w:tc>
        <w:tc>
          <w:tcPr>
            <w:tcW w:type="dxa" w:w="2492"/>
          </w:tcPr>
          <w:p>
            <w:pPr>
              <w:pStyle w:val="null3"/>
            </w:pPr>
            <w:r>
              <w:rPr>
                <w:rFonts w:ascii="仿宋_GB2312" w:hAnsi="仿宋_GB2312" w:cs="仿宋_GB2312" w:eastAsia="仿宋_GB2312"/>
              </w:rPr>
              <w:t>1）内容完整、全面、可行性较强，得(5-8]分； 2) 内容较完善，可行性一般，得(3-5]分； 3) 内容一般，可行性较差，得[1-3]分。 未提供的不计分。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投标文件格式——技术方案.docx</w:t>
            </w:r>
          </w:p>
        </w:tc>
      </w:tr>
      <w:tr>
        <w:tc>
          <w:tcPr>
            <w:tcW w:type="dxa" w:w="831"/>
            <w:vMerge/>
          </w:tcPr>
          <w:p/>
        </w:tc>
        <w:tc>
          <w:tcPr>
            <w:tcW w:type="dxa" w:w="1661"/>
          </w:tcPr>
          <w:p>
            <w:pPr>
              <w:pStyle w:val="null3"/>
            </w:pPr>
            <w:r>
              <w:rPr>
                <w:rFonts w:ascii="仿宋_GB2312" w:hAnsi="仿宋_GB2312" w:cs="仿宋_GB2312" w:eastAsia="仿宋_GB2312"/>
              </w:rPr>
              <w:t>劳动力安排计划及劳务分包情况表</w:t>
            </w:r>
          </w:p>
        </w:tc>
        <w:tc>
          <w:tcPr>
            <w:tcW w:type="dxa" w:w="2492"/>
          </w:tcPr>
          <w:p>
            <w:pPr>
              <w:pStyle w:val="null3"/>
            </w:pPr>
            <w:r>
              <w:rPr>
                <w:rFonts w:ascii="仿宋_GB2312" w:hAnsi="仿宋_GB2312" w:cs="仿宋_GB2312" w:eastAsia="仿宋_GB2312"/>
              </w:rPr>
              <w:t>1）内容完整、全面、可行性较强，得(5-8]分； 2) 内容较完善，可行性一般，得(3-5]分； 3) 内容一般，可行性较差，得[1-3]分。 未提供的不计分。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投标文件格式——技术方案.docx</w:t>
            </w:r>
          </w:p>
          <w:p>
            <w:pPr>
              <w:pStyle w:val="null3"/>
            </w:pPr>
            <w:r>
              <w:rPr>
                <w:rFonts w:ascii="仿宋_GB2312" w:hAnsi="仿宋_GB2312" w:cs="仿宋_GB2312" w:eastAsia="仿宋_GB2312"/>
              </w:rPr>
              <w:t>项目管理机构组成表</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提供2022年11月1日起至今，供应商承担的类似项目业绩（以响应文件中合同复印件为准），每提供1份有效业绩得2.5分，最多得5分。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投标文件格式——技术方案.docx</w:t>
            </w:r>
          </w:p>
          <w:p>
            <w:pPr>
              <w:pStyle w:val="null3"/>
            </w:pPr>
            <w:r>
              <w:rPr>
                <w:rFonts w:ascii="仿宋_GB2312" w:hAnsi="仿宋_GB2312" w:cs="仿宋_GB2312" w:eastAsia="仿宋_GB2312"/>
              </w:rPr>
              <w:t>供应商类似项目业绩一览表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1.经初审合格的投标文件，其投标报价为有效投标价。 2.有效最低报价为基准价得30分。 3.按（有效最低报价/有效投标报价）×30的公式计算其得分。 4.投标报价不完整的，不进入评标标准价的计算，本项得0分。 5.经评委一致认定，供应商的投标总报价低于公认市场成本，或超过采购预算,其投标将被拒绝。</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详见附件：投标文件格式——技术方案.docx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详见附件：政采施工合同2025..docx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