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版本号：ZMZB2025ZYYY-392R20251118001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西成药追溯码系统采购项目(二次)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ZMZB2025ZYYY-392R</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西成药追溯码系统采购项目(二次)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ZMZB2025ZYYY-392R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西成药追溯码系统采购项目(二次)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西成药追溯码系统采购项目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采购包1（西成药追溯码系统采购项目）：属于专门面向中小企业采购。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 3 年内在经营活动中没有重大违法记录的书面声明：参加政府采购活动前 3 年内在经营活动中没有重大违法记录的书面声明</w:t>
      </w:r>
    </w:p>
    <w:p>
      <w:pPr>
        <w:pStyle w:val="null3"/>
      </w:pPr>
      <w:r>
        <w:rPr>
          <w:rFonts w:ascii="仿宋_GB2312" w:hAnsi="仿宋_GB2312" w:cs="仿宋_GB2312" w:eastAsia="仿宋_GB2312"/>
        </w:rPr>
        <w:t>7、法定代表人授权书：非法定代表人参加磋商的，须提供法定代表人委托授权书及被授权人提交响应文件截止时间前三个月内任意一个月的社会保障资金（养老保险或医疗保险）的缴纳证明及被授权人身份证，法定代表人参加磋商时,只需提供法定代表人身份证；</w:t>
      </w:r>
    </w:p>
    <w:p>
      <w:pPr>
        <w:pStyle w:val="null3"/>
      </w:pPr>
      <w:r>
        <w:rPr>
          <w:rFonts w:ascii="仿宋_GB2312" w:hAnsi="仿宋_GB2312" w:cs="仿宋_GB2312" w:eastAsia="仿宋_GB2312"/>
        </w:rPr>
        <w:t>8、供应商非西安市中医医院职工及其亲属投资开办或控股的企业：供应商提供非西安市中医医院职工及其亲属投资开办或控股的企业书面声明</w:t>
      </w:r>
    </w:p>
    <w:p>
      <w:pPr>
        <w:pStyle w:val="null3"/>
      </w:pPr>
      <w:r>
        <w:rPr>
          <w:rFonts w:ascii="仿宋_GB2312" w:hAnsi="仿宋_GB2312" w:cs="仿宋_GB2312" w:eastAsia="仿宋_GB2312"/>
        </w:rPr>
        <w:t>9、本项目不接受联合体：本项目不接受联合体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按照成交金额差额定率累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踏勘时间：2025-11-26 09:30:00</w:t>
            </w:r>
          </w:p>
          <w:p>
            <w:pPr>
              <w:pStyle w:val="null3"/>
              <w:ind w:firstLine="975"/>
            </w:pPr>
            <w:r>
              <w:rPr>
                <w:rFonts w:ascii="仿宋_GB2312" w:hAnsi="仿宋_GB2312" w:cs="仿宋_GB2312" w:eastAsia="仿宋_GB2312"/>
              </w:rPr>
              <w:t>踏勘地点：西安市中医医院（凤城八路69号）</w:t>
            </w:r>
          </w:p>
          <w:p>
            <w:pPr>
              <w:pStyle w:val="null3"/>
              <w:ind w:firstLine="975"/>
            </w:pPr>
            <w:r>
              <w:rPr>
                <w:rFonts w:ascii="仿宋_GB2312" w:hAnsi="仿宋_GB2312" w:cs="仿宋_GB2312" w:eastAsia="仿宋_GB2312"/>
              </w:rPr>
              <w:t>联系人：米文佳 吴敉</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3月19日，国家医保局等四部门联合发布《关于加强药品追溯码在医疗保障和工伤保险领域采集应用的通知》。2026年1月1日起，要求所有医药机构必须实现药品追溯码全量采集上传。实现药品采购及医疗机构的药品全流程跟踪信息，所有药品从进入医院到离开的每个步骤有记录，通过信息化系统辅助实现处方信息智能自动核验，防止错发、漏发药品。故采购一套西成药追溯码系统。</w:t>
      </w:r>
    </w:p>
    <w:p>
      <w:pPr>
        <w:pStyle w:val="null3"/>
        <w:ind w:firstLine="480"/>
        <w:jc w:val="both"/>
      </w:pPr>
      <w:r>
        <w:rPr>
          <w:rFonts w:ascii="仿宋_GB2312" w:hAnsi="仿宋_GB2312" w:cs="仿宋_GB2312" w:eastAsia="仿宋_GB2312"/>
        </w:rPr>
        <w:t>建设目标：</w:t>
      </w:r>
    </w:p>
    <w:p>
      <w:pPr>
        <w:pStyle w:val="null3"/>
        <w:ind w:firstLine="480"/>
        <w:jc w:val="both"/>
      </w:pPr>
      <w:r>
        <w:rPr>
          <w:rFonts w:ascii="仿宋_GB2312" w:hAnsi="仿宋_GB2312" w:cs="仿宋_GB2312" w:eastAsia="仿宋_GB2312"/>
        </w:rPr>
        <w:t>构建西成药追溯码系统，实现药品采购及医疗机构的药品全流程跟踪信息，所有药品从进入医院到离开的每个步骤有记录，通过信息化系统辅助实现处方信息智能自动核验，防止错发、漏发药品，批量快速扫码登记，提高药剂科人员工作效率，满足国家医保局要求。</w:t>
      </w:r>
    </w:p>
    <w:p>
      <w:pPr>
        <w:pStyle w:val="null3"/>
        <w:ind w:firstLine="480"/>
      </w:pPr>
      <w:r>
        <w:rPr>
          <w:rFonts w:ascii="仿宋_GB2312" w:hAnsi="仿宋_GB2312" w:cs="仿宋_GB2312" w:eastAsia="仿宋_GB2312"/>
        </w:rPr>
        <w:t>药库及药房扫码实现流程自动化：配置移动智能终端设备，在移动端实现入库扫码自动核对、</w:t>
      </w:r>
      <w:r>
        <w:rPr>
          <w:rFonts w:ascii="仿宋_GB2312" w:hAnsi="仿宋_GB2312" w:cs="仿宋_GB2312" w:eastAsia="仿宋_GB2312"/>
        </w:rPr>
        <w:t>HIS系统</w:t>
      </w:r>
      <w:r>
        <w:rPr>
          <w:rFonts w:ascii="仿宋_GB2312" w:hAnsi="仿宋_GB2312" w:cs="仿宋_GB2312" w:eastAsia="仿宋_GB2312"/>
        </w:rPr>
        <w:t>同步</w:t>
      </w:r>
      <w:r>
        <w:rPr>
          <w:rFonts w:ascii="仿宋_GB2312" w:hAnsi="仿宋_GB2312" w:cs="仿宋_GB2312" w:eastAsia="仿宋_GB2312"/>
        </w:rPr>
        <w:t>、门诊处方发药</w:t>
      </w:r>
      <w:r>
        <w:rPr>
          <w:rFonts w:ascii="仿宋_GB2312" w:hAnsi="仿宋_GB2312" w:cs="仿宋_GB2312" w:eastAsia="仿宋_GB2312"/>
        </w:rPr>
        <w:t>、住院发药及</w:t>
      </w:r>
      <w:r>
        <w:rPr>
          <w:rFonts w:ascii="仿宋_GB2312" w:hAnsi="仿宋_GB2312" w:cs="仿宋_GB2312" w:eastAsia="仿宋_GB2312"/>
        </w:rPr>
        <w:t>出院带药自动复核等功能，全面提升医院日常工作效率。</w:t>
      </w:r>
    </w:p>
    <w:p>
      <w:pPr>
        <w:pStyle w:val="null3"/>
        <w:ind w:firstLine="480"/>
        <w:jc w:val="both"/>
      </w:pPr>
      <w:r>
        <w:rPr>
          <w:rFonts w:ascii="仿宋_GB2312" w:hAnsi="仿宋_GB2312" w:cs="仿宋_GB2312" w:eastAsia="仿宋_GB2312"/>
        </w:rPr>
        <w:t>建设原则：</w:t>
      </w:r>
    </w:p>
    <w:p>
      <w:pPr>
        <w:pStyle w:val="null3"/>
        <w:ind w:firstLine="480"/>
        <w:jc w:val="both"/>
      </w:pPr>
      <w:r>
        <w:rPr>
          <w:rFonts w:ascii="仿宋_GB2312" w:hAnsi="仿宋_GB2312" w:cs="仿宋_GB2312" w:eastAsia="仿宋_GB2312"/>
        </w:rPr>
        <w:t>1、系统的先进性</w:t>
      </w:r>
    </w:p>
    <w:p>
      <w:pPr>
        <w:pStyle w:val="null3"/>
        <w:ind w:firstLine="480"/>
        <w:jc w:val="both"/>
      </w:pPr>
      <w:r>
        <w:rPr>
          <w:rFonts w:ascii="仿宋_GB2312" w:hAnsi="仿宋_GB2312" w:cs="仿宋_GB2312" w:eastAsia="仿宋_GB2312"/>
        </w:rPr>
        <w:t>从我院的实际需求出发，对此次系统建设进行全面规划，采用现代化的理念和技术，对系统的设计做到合理化、科学化，达到低投资、高效益；建成的系统要先进、适应未来发展，并具有强大的发展潜力。</w:t>
      </w:r>
    </w:p>
    <w:p>
      <w:pPr>
        <w:pStyle w:val="null3"/>
        <w:ind w:firstLine="480"/>
        <w:jc w:val="both"/>
      </w:pPr>
      <w:r>
        <w:rPr>
          <w:rFonts w:ascii="仿宋_GB2312" w:hAnsi="仿宋_GB2312" w:cs="仿宋_GB2312" w:eastAsia="仿宋_GB2312"/>
        </w:rPr>
        <w:t>2、系统的可靠性</w:t>
      </w:r>
    </w:p>
    <w:p>
      <w:pPr>
        <w:pStyle w:val="null3"/>
        <w:ind w:firstLine="480"/>
        <w:jc w:val="both"/>
      </w:pPr>
      <w:r>
        <w:rPr>
          <w:rFonts w:ascii="仿宋_GB2312" w:hAnsi="仿宋_GB2312" w:cs="仿宋_GB2312" w:eastAsia="仿宋_GB2312"/>
        </w:rPr>
        <w:t>该系统是在</w:t>
      </w:r>
      <w:r>
        <w:rPr>
          <w:rFonts w:ascii="仿宋_GB2312" w:hAnsi="仿宋_GB2312" w:cs="仿宋_GB2312" w:eastAsia="仿宋_GB2312"/>
        </w:rPr>
        <w:t>药剂</w:t>
      </w:r>
      <w:r>
        <w:rPr>
          <w:rFonts w:ascii="仿宋_GB2312" w:hAnsi="仿宋_GB2312" w:cs="仿宋_GB2312" w:eastAsia="仿宋_GB2312"/>
        </w:rPr>
        <w:t>科使用，应当充分利用现代最新技术最可靠的成果，以便该系统在尽可能长的时间内与社会发展相适应。系统支持</w:t>
      </w:r>
      <w:r>
        <w:rPr>
          <w:rFonts w:ascii="仿宋_GB2312" w:hAnsi="仿宋_GB2312" w:cs="仿宋_GB2312" w:eastAsia="仿宋_GB2312"/>
        </w:rPr>
        <w:t>7x24小时工作模式，同时系统提供完备的容灾技术，以利于抗干扰运行；提供系统运行日志，以利于及时纠错排障。</w:t>
      </w:r>
    </w:p>
    <w:p>
      <w:pPr>
        <w:pStyle w:val="null3"/>
        <w:ind w:firstLine="480"/>
        <w:jc w:val="both"/>
      </w:pPr>
      <w:r>
        <w:rPr>
          <w:rFonts w:ascii="仿宋_GB2312" w:hAnsi="仿宋_GB2312" w:cs="仿宋_GB2312" w:eastAsia="仿宋_GB2312"/>
        </w:rPr>
        <w:t>3、系统的易维护性</w:t>
      </w:r>
    </w:p>
    <w:p>
      <w:pPr>
        <w:pStyle w:val="null3"/>
        <w:ind w:firstLine="480"/>
        <w:jc w:val="both"/>
      </w:pPr>
      <w:r>
        <w:rPr>
          <w:rFonts w:ascii="仿宋_GB2312" w:hAnsi="仿宋_GB2312" w:cs="仿宋_GB2312" w:eastAsia="仿宋_GB2312"/>
        </w:rPr>
        <w:t>系统完成实施后必须满足以下两点要求：一是易于故障的排除，二是系统人性化管理，日常管理操作简便。</w:t>
      </w:r>
    </w:p>
    <w:p>
      <w:pPr>
        <w:pStyle w:val="null3"/>
        <w:ind w:firstLine="480"/>
        <w:jc w:val="both"/>
      </w:pPr>
      <w:r>
        <w:rPr>
          <w:rFonts w:ascii="仿宋_GB2312" w:hAnsi="仿宋_GB2312" w:cs="仿宋_GB2312" w:eastAsia="仿宋_GB2312"/>
        </w:rPr>
        <w:t>4、系统的安全性</w:t>
      </w:r>
    </w:p>
    <w:p>
      <w:pPr>
        <w:pStyle w:val="null3"/>
        <w:ind w:firstLine="480"/>
        <w:jc w:val="both"/>
      </w:pPr>
      <w:r>
        <w:rPr>
          <w:rFonts w:ascii="仿宋_GB2312" w:hAnsi="仿宋_GB2312" w:cs="仿宋_GB2312" w:eastAsia="仿宋_GB2312"/>
        </w:rPr>
        <w:t>系统服务器必须在医院内网部署，采用多种手段防止各种形式与途径的非法破坏，建立各种保证措施。系统需在应用层面提供对数据的保护；系统提供严谨的用户权限管理和重要操作监控记录，保证系统使用的安全性；提供可靠的数据传输技术和患者隐私保护措施，保证数据安全。</w:t>
      </w:r>
    </w:p>
    <w:p>
      <w:pPr>
        <w:pStyle w:val="null3"/>
        <w:ind w:firstLine="480"/>
        <w:jc w:val="both"/>
      </w:pPr>
      <w:r>
        <w:rPr>
          <w:rFonts w:ascii="仿宋_GB2312" w:hAnsi="仿宋_GB2312" w:cs="仿宋_GB2312" w:eastAsia="仿宋_GB2312"/>
        </w:rPr>
        <w:t>5、系统的可扩充性</w:t>
      </w:r>
    </w:p>
    <w:p>
      <w:pPr>
        <w:pStyle w:val="null3"/>
        <w:ind w:firstLine="480"/>
        <w:jc w:val="both"/>
      </w:pPr>
      <w:r>
        <w:rPr>
          <w:rFonts w:ascii="仿宋_GB2312" w:hAnsi="仿宋_GB2312" w:cs="仿宋_GB2312" w:eastAsia="仿宋_GB2312"/>
        </w:rPr>
        <w:t>此次系统建成后存在数据变动、业务流程变化、软硬件升级等方面的扩充与换代的可能，不允许出现硬件加密造成后续数据无法迁移等问题。需考虑业务扩充带来的使用者和数据量的剧增，系统在设计和开发的过程中提供一定的可扩充性，防止由于数据、业务变化等因素造成系统运行的不稳定。展示页面可视化配置，</w:t>
      </w:r>
      <w:r>
        <w:rPr>
          <w:rFonts w:ascii="仿宋_GB2312" w:hAnsi="仿宋_GB2312" w:cs="仿宋_GB2312" w:eastAsia="仿宋_GB2312"/>
        </w:rPr>
        <w:t>配置操作</w:t>
      </w:r>
      <w:r>
        <w:rPr>
          <w:rFonts w:ascii="仿宋_GB2312" w:hAnsi="仿宋_GB2312" w:cs="仿宋_GB2312" w:eastAsia="仿宋_GB2312"/>
        </w:rPr>
        <w:t>灵活；具有数据集，且数据集可自定义配置。</w:t>
      </w:r>
    </w:p>
    <w:p>
      <w:pPr>
        <w:pStyle w:val="null3"/>
        <w:ind w:firstLine="480"/>
        <w:jc w:val="both"/>
      </w:pPr>
      <w:r>
        <w:rPr>
          <w:rFonts w:ascii="仿宋_GB2312" w:hAnsi="仿宋_GB2312" w:cs="仿宋_GB2312" w:eastAsia="仿宋_GB2312"/>
        </w:rPr>
        <w:t>6、系统的高可用性</w:t>
      </w:r>
    </w:p>
    <w:p>
      <w:pPr>
        <w:pStyle w:val="null3"/>
        <w:ind w:firstLine="480"/>
        <w:jc w:val="both"/>
      </w:pPr>
      <w:r>
        <w:rPr>
          <w:rFonts w:ascii="仿宋_GB2312" w:hAnsi="仿宋_GB2312" w:cs="仿宋_GB2312" w:eastAsia="仿宋_GB2312"/>
        </w:rPr>
        <w:t>基于医院业务无缝集成，无需</w:t>
      </w:r>
      <w:r>
        <w:rPr>
          <w:rFonts w:ascii="仿宋_GB2312" w:hAnsi="仿宋_GB2312" w:cs="仿宋_GB2312" w:eastAsia="仿宋_GB2312"/>
        </w:rPr>
        <w:t>药剂科人员</w:t>
      </w:r>
      <w:r>
        <w:rPr>
          <w:rFonts w:ascii="仿宋_GB2312" w:hAnsi="仿宋_GB2312" w:cs="仿宋_GB2312" w:eastAsia="仿宋_GB2312"/>
        </w:rPr>
        <w:t>手动单独调取</w:t>
      </w:r>
      <w:r>
        <w:rPr>
          <w:rFonts w:ascii="仿宋_GB2312" w:hAnsi="仿宋_GB2312" w:cs="仿宋_GB2312" w:eastAsia="仿宋_GB2312"/>
        </w:rPr>
        <w:t>系统</w:t>
      </w:r>
      <w:r>
        <w:rPr>
          <w:rFonts w:ascii="仿宋_GB2312" w:hAnsi="仿宋_GB2312" w:cs="仿宋_GB2312" w:eastAsia="仿宋_GB2312"/>
        </w:rPr>
        <w:t>，工作流程一体化，尊重原工作习惯，提倡</w:t>
      </w:r>
      <w:r>
        <w:rPr>
          <w:rFonts w:ascii="仿宋_GB2312" w:hAnsi="仿宋_GB2312" w:cs="仿宋_GB2312" w:eastAsia="仿宋_GB2312"/>
        </w:rPr>
        <w:t>“无感”操作，在系统界面中合适地方、合适时机弹出提醒，弹框停留时间适当，不干扰</w:t>
      </w:r>
      <w:r>
        <w:rPr>
          <w:rFonts w:ascii="仿宋_GB2312" w:hAnsi="仿宋_GB2312" w:cs="仿宋_GB2312" w:eastAsia="仿宋_GB2312"/>
        </w:rPr>
        <w:t>药师</w:t>
      </w:r>
      <w:r>
        <w:rPr>
          <w:rFonts w:ascii="仿宋_GB2312" w:hAnsi="仿宋_GB2312" w:cs="仿宋_GB2312" w:eastAsia="仿宋_GB2312"/>
        </w:rPr>
        <w:t>工作。</w:t>
      </w:r>
    </w:p>
    <w:p>
      <w:pPr>
        <w:pStyle w:val="null3"/>
        <w:ind w:firstLine="480"/>
        <w:jc w:val="both"/>
      </w:pPr>
      <w:r>
        <w:rPr>
          <w:rFonts w:ascii="仿宋_GB2312" w:hAnsi="仿宋_GB2312" w:cs="仿宋_GB2312" w:eastAsia="仿宋_GB2312"/>
        </w:rPr>
        <w:t>7、系统集成</w:t>
      </w:r>
    </w:p>
    <w:p>
      <w:pPr>
        <w:pStyle w:val="null3"/>
        <w:ind w:firstLine="480"/>
      </w:pPr>
      <w:r>
        <w:rPr>
          <w:rFonts w:ascii="仿宋_GB2312" w:hAnsi="仿宋_GB2312" w:cs="仿宋_GB2312" w:eastAsia="仿宋_GB2312"/>
        </w:rPr>
        <w:t>无缝接入业务系统中，对电子病历系统、</w:t>
      </w:r>
      <w:r>
        <w:rPr>
          <w:rFonts w:ascii="仿宋_GB2312" w:hAnsi="仿宋_GB2312" w:cs="仿宋_GB2312" w:eastAsia="仿宋_GB2312"/>
        </w:rPr>
        <w:t>HIS系统等业务系统提供的信息进行处理。医院的各个业务系统无需大规模改造。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西成药追溯码系统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标的名称：西成药追溯码系统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本次项目涵盖药品入库、存储、发放全流程追溯管理，并实现与</w:t>
            </w:r>
            <w:r>
              <w:rPr>
                <w:rFonts w:ascii="仿宋_GB2312" w:hAnsi="仿宋_GB2312" w:cs="仿宋_GB2312" w:eastAsia="仿宋_GB2312"/>
                <w:sz w:val="21"/>
              </w:rPr>
              <w:t>HIS系统对接。将采集数据同步至HIS系统，支持采购、流通、发药等多场景上报。</w:t>
            </w:r>
          </w:p>
          <w:tbl>
            <w:tblPr>
              <w:tblBorders>
                <w:top w:val="none" w:color="000000" w:sz="4"/>
                <w:left w:val="none" w:color="000000" w:sz="4"/>
                <w:bottom w:val="none" w:color="000000" w:sz="4"/>
                <w:right w:val="none" w:color="000000" w:sz="4"/>
                <w:insideH w:val="none"/>
                <w:insideV w:val="none"/>
              </w:tblBorders>
            </w:tblPr>
            <w:tblGrid>
              <w:gridCol w:w="281"/>
              <w:gridCol w:w="253"/>
              <w:gridCol w:w="349"/>
              <w:gridCol w:w="1656"/>
            </w:tblGrid>
            <w:tr>
              <w:tc>
                <w:tcPr>
                  <w:tcW w:type="dxa" w:w="28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模块</w:t>
                  </w:r>
                </w:p>
              </w:tc>
              <w:tc>
                <w:tcPr>
                  <w:tcW w:type="dxa" w:w="25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分类</w:t>
                  </w:r>
                  <w:r>
                    <w:rPr>
                      <w:rFonts w:ascii="仿宋_GB2312" w:hAnsi="仿宋_GB2312" w:cs="仿宋_GB2312" w:eastAsia="仿宋_GB2312"/>
                      <w:sz w:val="18"/>
                      <w:color w:val="000000"/>
                    </w:rPr>
                    <w:t>/数量</w:t>
                  </w:r>
                </w:p>
              </w:tc>
              <w:tc>
                <w:tcPr>
                  <w:tcW w:type="dxa" w:w="34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w:t>
                  </w:r>
                </w:p>
              </w:tc>
              <w:tc>
                <w:tcPr>
                  <w:tcW w:type="dxa" w:w="165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需求</w:t>
                  </w:r>
                </w:p>
              </w:tc>
            </w:tr>
            <w:tr>
              <w:tc>
                <w:tcPr>
                  <w:tcW w:type="dxa" w:w="2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1、药库入库、退库</w:t>
                  </w: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1.1入库</w:t>
                  </w:r>
                </w:p>
              </w:tc>
              <w:tc>
                <w:tcPr>
                  <w:tcW w:type="dxa" w:w="3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入库采集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PDA</w:t>
                  </w:r>
                  <w:r>
                    <w:rPr>
                      <w:rFonts w:ascii="仿宋_GB2312" w:hAnsi="仿宋_GB2312" w:cs="仿宋_GB2312" w:eastAsia="仿宋_GB2312"/>
                      <w:sz w:val="18"/>
                      <w:color w:val="000000"/>
                    </w:rPr>
                    <w:t>扫描大箱码、中包装码或单盒药品追溯码，无需拆箱直接获取最小规格药品的追溯码信息，同步至</w:t>
                  </w:r>
                  <w:r>
                    <w:rPr>
                      <w:rFonts w:ascii="仿宋_GB2312" w:hAnsi="仿宋_GB2312" w:cs="仿宋_GB2312" w:eastAsia="仿宋_GB2312"/>
                      <w:sz w:val="18"/>
                      <w:color w:val="000000"/>
                    </w:rPr>
                    <w:t>HIS系统，完成入库操作</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P</w:t>
                  </w:r>
                  <w:r>
                    <w:rPr>
                      <w:rFonts w:ascii="仿宋_GB2312" w:hAnsi="仿宋_GB2312" w:cs="仿宋_GB2312" w:eastAsia="仿宋_GB2312"/>
                      <w:sz w:val="18"/>
                      <w:color w:val="000000"/>
                    </w:rPr>
                    <w:t>DA</w:t>
                  </w:r>
                  <w:r>
                    <w:rPr>
                      <w:rFonts w:ascii="仿宋_GB2312" w:hAnsi="仿宋_GB2312" w:cs="仿宋_GB2312" w:eastAsia="仿宋_GB2312"/>
                      <w:sz w:val="18"/>
                      <w:color w:val="000000"/>
                    </w:rPr>
                    <w:t>扫描发票，关联采集配送企业提供的追溯码信息，同步数据至</w:t>
                  </w:r>
                  <w:r>
                    <w:rPr>
                      <w:rFonts w:ascii="仿宋_GB2312" w:hAnsi="仿宋_GB2312" w:cs="仿宋_GB2312" w:eastAsia="仿宋_GB2312"/>
                      <w:sz w:val="18"/>
                      <w:color w:val="000000"/>
                    </w:rPr>
                    <w:t>HIS系统，完成入库操作</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确认验收入库，将相关信息上传至国家医保信息平台</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PDA直接扫码采集入库药品追溯码，实现单盒药品扫追溯码入库</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批量采集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批量采集散装入库药品的追溯码信息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连续扫描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连续扫描多个码，实时显示采集数量和应采集总数量</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外包装码自动解析</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扫描外包装（大包装、中包装）上的追溯码后，系统自动解析下载对应包装内的所有最小包装药品追溯码，符合国家医保信息平台上传要求</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查看药品追溯码</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实现电脑端查看最小包装药品追溯码采集明细信息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异常提示</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对于无法识别或信息不全的码，提供异常提示</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自动匹配</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追溯码匹配核对功能，能够自动将采集到的追溯码信息与入库单数据进行精准比对</w:t>
                  </w:r>
                  <w:r>
                    <w:rPr>
                      <w:rFonts w:ascii="仿宋_GB2312" w:hAnsi="仿宋_GB2312" w:cs="仿宋_GB2312" w:eastAsia="仿宋_GB2312"/>
                      <w:sz w:val="18"/>
                      <w:color w:val="000000"/>
                    </w:rPr>
                    <w:t>，针对追溯码少于入库数量支持补录，针对追溯码多于入库数量支持删除</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无追溯码药品管理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实现对无追溯码及追溯码异常药品的追溯管理，如</w:t>
                  </w:r>
                  <w:r>
                    <w:rPr>
                      <w:rFonts w:ascii="仿宋_GB2312" w:hAnsi="仿宋_GB2312" w:cs="仿宋_GB2312" w:eastAsia="仿宋_GB2312"/>
                      <w:sz w:val="18"/>
                      <w:color w:val="000000"/>
                    </w:rPr>
                    <w:t>：</w:t>
                  </w:r>
                  <w:r>
                    <w:rPr>
                      <w:rFonts w:ascii="仿宋_GB2312" w:hAnsi="仿宋_GB2312" w:cs="仿宋_GB2312" w:eastAsia="仿宋_GB2312"/>
                      <w:sz w:val="18"/>
                      <w:color w:val="000000"/>
                    </w:rPr>
                    <w:t>针对无追溯码的药品，实现无追溯码自动核发，将该药品无追溯码信息上传至国家医保信息平台</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预警功能</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在药品入库环节实时监测药品的关键信息，如有效期、批准文号等。一旦检测到近效期、过期药品、存在批准文号异常等潜在问题，系统发出预警提示，及时通知工作人员处理</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不同类别</w:t>
                  </w:r>
                  <w:r>
                    <w:rPr>
                      <w:rFonts w:ascii="仿宋_GB2312" w:hAnsi="仿宋_GB2312" w:cs="仿宋_GB2312" w:eastAsia="仿宋_GB2312"/>
                      <w:sz w:val="18"/>
                      <w:color w:val="000000"/>
                    </w:rPr>
                    <w:t>药品管理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实现集采、基药、国谈等药品数据管理</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特殊药品管理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具备特殊药品拆零库，整盒药品</w:t>
                  </w:r>
                  <w:r>
                    <w:rPr>
                      <w:rFonts w:ascii="仿宋_GB2312" w:hAnsi="仿宋_GB2312" w:cs="仿宋_GB2312" w:eastAsia="仿宋_GB2312"/>
                      <w:sz w:val="18"/>
                      <w:color w:val="000000"/>
                    </w:rPr>
                    <w:t>拆零</w:t>
                  </w:r>
                  <w:r>
                    <w:rPr>
                      <w:rFonts w:ascii="仿宋_GB2312" w:hAnsi="仿宋_GB2312" w:cs="仿宋_GB2312" w:eastAsia="仿宋_GB2312"/>
                      <w:sz w:val="18"/>
                      <w:color w:val="000000"/>
                    </w:rPr>
                    <w:t>发药时关联药品追溯码信息，</w:t>
                  </w:r>
                  <w:r>
                    <w:rPr>
                      <w:rFonts w:ascii="仿宋_GB2312" w:hAnsi="仿宋_GB2312" w:cs="仿宋_GB2312" w:eastAsia="仿宋_GB2312"/>
                      <w:sz w:val="18"/>
                      <w:color w:val="000000"/>
                    </w:rPr>
                    <w:t>实现特殊药品追溯码的上传</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信息同步</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同步药品信息</w:t>
                  </w:r>
                  <w:r>
                    <w:rPr>
                      <w:rFonts w:ascii="仿宋_GB2312" w:hAnsi="仿宋_GB2312" w:cs="仿宋_GB2312" w:eastAsia="仿宋_GB2312"/>
                      <w:sz w:val="18"/>
                      <w:color w:val="000000"/>
                    </w:rPr>
                    <w:t>至</w:t>
                  </w:r>
                  <w:r>
                    <w:rPr>
                      <w:rFonts w:ascii="仿宋_GB2312" w:hAnsi="仿宋_GB2312" w:cs="仿宋_GB2312" w:eastAsia="仿宋_GB2312"/>
                      <w:sz w:val="18"/>
                      <w:color w:val="000000"/>
                    </w:rPr>
                    <w:t>HIS系统，完成入库操作</w:t>
                  </w:r>
                </w:p>
              </w:tc>
            </w:tr>
            <w:tr>
              <w:tc>
                <w:tcPr>
                  <w:tcW w:type="dxa" w:w="281"/>
                  <w:vMerge/>
                  <w:tcBorders>
                    <w:top w:val="none" w:color="000000" w:sz="4"/>
                    <w:left w:val="single" w:color="000000" w:sz="4"/>
                    <w:bottom w:val="single" w:color="000000" w:sz="4"/>
                    <w:right w:val="single" w:color="000000" w:sz="4"/>
                  </w:tcBorders>
                </w:tcP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1.2退库</w:t>
                  </w:r>
                </w:p>
              </w:tc>
              <w:tc>
                <w:tcPr>
                  <w:tcW w:type="dxa" w:w="3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退库采集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关联退货单扫码采集退货药品追溯码，实现退药扫码比对回库功能</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退库操作完成后，系统将退货信息推送至</w:t>
                  </w:r>
                  <w:r>
                    <w:rPr>
                      <w:rFonts w:ascii="仿宋_GB2312" w:hAnsi="仿宋_GB2312" w:cs="仿宋_GB2312" w:eastAsia="仿宋_GB2312"/>
                      <w:sz w:val="18"/>
                      <w:color w:val="000000"/>
                    </w:rPr>
                    <w:t>HIS系统，实现数据的实时同步与更新</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在无退货单时直接选择供应商，扫码采集需要退货药品追溯码</w:t>
                  </w:r>
                </w:p>
              </w:tc>
            </w:tr>
            <w:tr>
              <w:tc>
                <w:tcPr>
                  <w:tcW w:type="dxa" w:w="281"/>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2、门诊发药、退药</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2.1门诊发药</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发药采集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扫码处方单，自动关联待发处方信息（处方核验时间不大于</w:t>
                  </w:r>
                  <w:r>
                    <w:rPr>
                      <w:rFonts w:ascii="仿宋_GB2312" w:hAnsi="仿宋_GB2312" w:cs="仿宋_GB2312" w:eastAsia="仿宋_GB2312"/>
                      <w:sz w:val="18"/>
                      <w:color w:val="000000"/>
                    </w:rPr>
                    <w:t>3秒、扫描药品追溯码数量</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50盒）</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核验信息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系统自动核验扫码药品与处方信息一致性</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多处方合并</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8"/>
                      <w:color w:val="000000"/>
                    </w:rPr>
                    <w:t>实现多处方识别与合并发药功能，精准识别患者多个处方，实现一次性合并发药。</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预警提示</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实现拿错药、多拿药、少拿药、过期药、近效期药、重复发药、条码异常、追溯码异常等情况进行预警提示</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批量采集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将待发药品整筐放至扫码区，批量高速扫描药品追溯码，实现登记上传至国家医保信息平台</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定位标记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识别定位处方内所有药品电子监管码信息，并实时显示条码定位标记</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重新识别</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未扫描的药品</w:t>
                  </w:r>
                  <w:r>
                    <w:rPr>
                      <w:rFonts w:ascii="仿宋_GB2312" w:hAnsi="仿宋_GB2312" w:cs="仿宋_GB2312" w:eastAsia="仿宋_GB2312"/>
                      <w:sz w:val="18"/>
                      <w:color w:val="000000"/>
                    </w:rPr>
                    <w:t>和</w:t>
                  </w:r>
                  <w:r>
                    <w:rPr>
                      <w:rFonts w:ascii="仿宋_GB2312" w:hAnsi="仿宋_GB2312" w:cs="仿宋_GB2312" w:eastAsia="仿宋_GB2312"/>
                      <w:sz w:val="18"/>
                      <w:color w:val="000000"/>
                    </w:rPr>
                    <w:t>已扫描药品</w:t>
                  </w:r>
                  <w:r>
                    <w:rPr>
                      <w:rFonts w:ascii="仿宋_GB2312" w:hAnsi="仿宋_GB2312" w:cs="仿宋_GB2312" w:eastAsia="仿宋_GB2312"/>
                      <w:sz w:val="18"/>
                      <w:color w:val="000000"/>
                    </w:rPr>
                    <w:t>不同</w:t>
                  </w:r>
                  <w:r>
                    <w:rPr>
                      <w:rFonts w:ascii="仿宋_GB2312" w:hAnsi="仿宋_GB2312" w:cs="仿宋_GB2312" w:eastAsia="仿宋_GB2312"/>
                      <w:sz w:val="18"/>
                      <w:color w:val="000000"/>
                    </w:rPr>
                    <w:t>颜色展示，</w:t>
                  </w:r>
                  <w:r>
                    <w:rPr>
                      <w:rFonts w:ascii="仿宋_GB2312" w:hAnsi="仿宋_GB2312" w:cs="仿宋_GB2312" w:eastAsia="仿宋_GB2312"/>
                      <w:sz w:val="18"/>
                      <w:color w:val="000000"/>
                    </w:rPr>
                    <w:t>实现药剂科人员随时调整药品位置重新识别</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信息同步</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同步药品信息至</w:t>
                  </w:r>
                  <w:r>
                    <w:rPr>
                      <w:rFonts w:ascii="仿宋_GB2312" w:hAnsi="仿宋_GB2312" w:cs="仿宋_GB2312" w:eastAsia="仿宋_GB2312"/>
                      <w:sz w:val="18"/>
                      <w:color w:val="000000"/>
                    </w:rPr>
                    <w:t>HIS系统，完成发药操作</w:t>
                  </w:r>
                </w:p>
              </w:tc>
            </w:tr>
            <w:tr>
              <w:tc>
                <w:tcPr>
                  <w:tcW w:type="dxa" w:w="281"/>
                  <w:vMerge/>
                  <w:tcBorders>
                    <w:top w:val="none" w:color="000000" w:sz="4"/>
                    <w:left w:val="single" w:color="000000" w:sz="4"/>
                    <w:bottom w:val="none" w:color="000000" w:sz="4"/>
                    <w:right w:val="single" w:color="000000" w:sz="4"/>
                  </w:tcBorders>
                </w:tcPr>
                <w:p/>
              </w:tc>
              <w:tc>
                <w:tcPr>
                  <w:tcW w:type="dxa" w:w="253"/>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2.2门诊退药</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退药采集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在退药流程中，系统对需要退还的药品进行追溯码采集，系统自动解码</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non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核验退药信息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系统自动扫码核验退还药品与发药信息相符</w:t>
                  </w:r>
                </w:p>
              </w:tc>
            </w:tr>
            <w:tr>
              <w:tc>
                <w:tcPr>
                  <w:tcW w:type="dxa" w:w="281"/>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3、住院药房发药</w:t>
                  </w: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3.1住院发药</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非拆零药品采集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根据</w:t>
                  </w:r>
                  <w:r>
                    <w:rPr>
                      <w:rFonts w:ascii="仿宋_GB2312" w:hAnsi="仿宋_GB2312" w:cs="仿宋_GB2312" w:eastAsia="仿宋_GB2312"/>
                      <w:sz w:val="18"/>
                      <w:color w:val="000000"/>
                    </w:rPr>
                    <w:t>我院实际需求，</w:t>
                  </w:r>
                  <w:r>
                    <w:rPr>
                      <w:rFonts w:ascii="仿宋_GB2312" w:hAnsi="仿宋_GB2312" w:cs="仿宋_GB2312" w:eastAsia="仿宋_GB2312"/>
                      <w:sz w:val="18"/>
                      <w:color w:val="000000"/>
                    </w:rPr>
                    <w:t>非拆零药品实现护士发放药品时用</w:t>
                  </w:r>
                  <w:r>
                    <w:rPr>
                      <w:rFonts w:ascii="仿宋_GB2312" w:hAnsi="仿宋_GB2312" w:cs="仿宋_GB2312" w:eastAsia="仿宋_GB2312"/>
                      <w:sz w:val="18"/>
                      <w:color w:val="000000"/>
                    </w:rPr>
                    <w:t>PDA或扫码枪扫描患者药品追溯码、患者</w:t>
                  </w:r>
                  <w:r>
                    <w:rPr>
                      <w:rFonts w:ascii="仿宋_GB2312" w:hAnsi="仿宋_GB2312" w:cs="仿宋_GB2312" w:eastAsia="仿宋_GB2312"/>
                      <w:sz w:val="18"/>
                      <w:color w:val="000000"/>
                    </w:rPr>
                    <w:t>腕带等信息</w:t>
                  </w:r>
                  <w:r>
                    <w:rPr>
                      <w:rFonts w:ascii="仿宋_GB2312" w:hAnsi="仿宋_GB2312" w:cs="仿宋_GB2312" w:eastAsia="仿宋_GB2312"/>
                      <w:sz w:val="18"/>
                      <w:color w:val="000000"/>
                    </w:rPr>
                    <w:t>，</w:t>
                  </w:r>
                  <w:r>
                    <w:rPr>
                      <w:rFonts w:ascii="仿宋_GB2312" w:hAnsi="仿宋_GB2312" w:cs="仿宋_GB2312" w:eastAsia="仿宋_GB2312"/>
                      <w:sz w:val="18"/>
                      <w:color w:val="000000"/>
                    </w:rPr>
                    <w:t>实现</w:t>
                  </w:r>
                  <w:r>
                    <w:rPr>
                      <w:rFonts w:ascii="仿宋_GB2312" w:hAnsi="仿宋_GB2312" w:cs="仿宋_GB2312" w:eastAsia="仿宋_GB2312"/>
                      <w:sz w:val="18"/>
                      <w:color w:val="000000"/>
                    </w:rPr>
                    <w:t>住院药品</w:t>
                  </w:r>
                  <w:r>
                    <w:rPr>
                      <w:rFonts w:ascii="仿宋_GB2312" w:hAnsi="仿宋_GB2312" w:cs="仿宋_GB2312" w:eastAsia="仿宋_GB2312"/>
                      <w:sz w:val="18"/>
                      <w:color w:val="000000"/>
                    </w:rPr>
                    <w:t>的相关信息上传至国家医保信息平台</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拆零口服药和针剂采集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拆零口服药和针剂：药品拆零前扫码登记，生成拆零药品追溯码库存；拆零医嘱发药后，系统自动提取医嘱信息匹配拆零药品追溯码库存，按照效期优先，先进先出原则匹配患者用药医嘱的药品追溯码信息</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同步数据</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实现追溯码相关信息上传至国家医保信息平台</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预警提示</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实现</w:t>
                  </w:r>
                  <w:r>
                    <w:rPr>
                      <w:rFonts w:ascii="仿宋_GB2312" w:hAnsi="仿宋_GB2312" w:cs="仿宋_GB2312" w:eastAsia="仿宋_GB2312"/>
                      <w:sz w:val="18"/>
                      <w:color w:val="000000"/>
                    </w:rPr>
                    <w:t>拿错药、多拿药、少拿药、过期药、近效期药、重复发药、条码异常、追溯码异常等情况进行预警提示</w:t>
                  </w:r>
                </w:p>
              </w:tc>
            </w:tr>
            <w:tr>
              <w:tc>
                <w:tcPr>
                  <w:tcW w:type="dxa" w:w="281"/>
                  <w:vMerge/>
                  <w:tcBorders>
                    <w:top w:val="none" w:color="000000" w:sz="4"/>
                    <w:left w:val="single" w:color="000000" w:sz="4"/>
                    <w:bottom w:val="none" w:color="000000" w:sz="4"/>
                    <w:right w:val="single" w:color="000000" w:sz="4"/>
                  </w:tcBorders>
                </w:tcPr>
                <w:p/>
              </w:tc>
              <w:tc>
                <w:tcPr>
                  <w:tcW w:type="dxa" w:w="253"/>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3.2住院退药</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退药采集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关联患者医嘱进行退药追溯码采集，完成退药操作</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non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核验退药信息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根据医院实际需求，实现系统自动扫码核验退还药品与发药信息相符</w:t>
                  </w:r>
                </w:p>
              </w:tc>
            </w:tr>
            <w:tr>
              <w:tc>
                <w:tcPr>
                  <w:tcW w:type="dxa" w:w="2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4、查询统计</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4.1查询统计</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查看药品信息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提供对药品目录的查看功能，同步</w:t>
                  </w:r>
                  <w:r>
                    <w:rPr>
                      <w:rFonts w:ascii="仿宋_GB2312" w:hAnsi="仿宋_GB2312" w:cs="仿宋_GB2312" w:eastAsia="仿宋_GB2312"/>
                      <w:sz w:val="18"/>
                      <w:color w:val="000000"/>
                    </w:rPr>
                    <w:t>HIS系统中药品字典小包装单位、转换系数等药品信息，实现药品追溯码的维护功能</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查看追溯码采集信息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查看门诊、住院追溯码采集信息，包括每日的处方数、药品数</w:t>
                  </w:r>
                  <w:r>
                    <w:rPr>
                      <w:rFonts w:ascii="仿宋_GB2312" w:hAnsi="仿宋_GB2312" w:cs="仿宋_GB2312" w:eastAsia="仿宋_GB2312"/>
                      <w:sz w:val="18"/>
                      <w:color w:val="000000"/>
                    </w:rPr>
                    <w:t>、上传追溯码数量、医保上传数、医保上传率等信息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查看退货单追溯码采集信息</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查看退货单追溯码采集信息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统计采集工作量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统计各药师发药采集工作量</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其他统计</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按照医院实际需求，实现与</w:t>
                  </w:r>
                  <w:r>
                    <w:rPr>
                      <w:rFonts w:ascii="仿宋_GB2312" w:hAnsi="仿宋_GB2312" w:cs="仿宋_GB2312" w:eastAsia="仿宋_GB2312"/>
                      <w:sz w:val="18"/>
                      <w:color w:val="000000"/>
                    </w:rPr>
                    <w:t>药品</w:t>
                  </w:r>
                  <w:r>
                    <w:rPr>
                      <w:rFonts w:ascii="仿宋_GB2312" w:hAnsi="仿宋_GB2312" w:cs="仿宋_GB2312" w:eastAsia="仿宋_GB2312"/>
                      <w:sz w:val="18"/>
                      <w:color w:val="000000"/>
                    </w:rPr>
                    <w:t>追溯码</w:t>
                  </w:r>
                  <w:r>
                    <w:rPr>
                      <w:rFonts w:ascii="仿宋_GB2312" w:hAnsi="仿宋_GB2312" w:cs="仿宋_GB2312" w:eastAsia="仿宋_GB2312"/>
                      <w:sz w:val="18"/>
                      <w:color w:val="000000"/>
                    </w:rPr>
                    <w:t>相关的其他</w:t>
                  </w:r>
                  <w:r>
                    <w:rPr>
                      <w:rFonts w:ascii="仿宋_GB2312" w:hAnsi="仿宋_GB2312" w:cs="仿宋_GB2312" w:eastAsia="仿宋_GB2312"/>
                      <w:sz w:val="18"/>
                      <w:color w:val="000000"/>
                    </w:rPr>
                    <w:t>数据统计</w:t>
                  </w:r>
                </w:p>
              </w:tc>
            </w:tr>
            <w:tr>
              <w:tc>
                <w:tcPr>
                  <w:tcW w:type="dxa" w:w="28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5、权限</w:t>
                  </w:r>
                  <w:r>
                    <w:rPr>
                      <w:rFonts w:ascii="仿宋_GB2312" w:hAnsi="仿宋_GB2312" w:cs="仿宋_GB2312" w:eastAsia="仿宋_GB2312"/>
                      <w:sz w:val="18"/>
                      <w:color w:val="000000"/>
                    </w:rPr>
                    <w:t>管理</w:t>
                  </w:r>
                </w:p>
              </w:tc>
              <w:tc>
                <w:tcPr>
                  <w:tcW w:type="dxa" w:w="25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5.1权限管理</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用户</w:t>
                  </w:r>
                  <w:r>
                    <w:rPr>
                      <w:rFonts w:ascii="仿宋_GB2312" w:hAnsi="仿宋_GB2312" w:cs="仿宋_GB2312" w:eastAsia="仿宋_GB2312"/>
                      <w:sz w:val="18"/>
                      <w:color w:val="000000"/>
                    </w:rPr>
                    <w:t>管理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实现对人员权限进行增加、修改、删除等操作</w:t>
                  </w:r>
                </w:p>
              </w:tc>
            </w:tr>
            <w:tr>
              <w:tc>
                <w:tcPr>
                  <w:tcW w:type="dxa" w:w="281"/>
                  <w:vMerge/>
                  <w:tcBorders>
                    <w:top w:val="none" w:color="000000" w:sz="4"/>
                    <w:left w:val="single" w:color="000000" w:sz="4"/>
                    <w:bottom w:val="none" w:color="000000" w:sz="4"/>
                    <w:right w:val="single" w:color="000000" w:sz="4"/>
                  </w:tcBorders>
                </w:tcPr>
                <w:p/>
              </w:tc>
              <w:tc>
                <w:tcPr>
                  <w:tcW w:type="dxa" w:w="253"/>
                  <w:vMerge/>
                  <w:tcBorders>
                    <w:top w:val="none" w:color="000000" w:sz="4"/>
                    <w:left w:val="none" w:color="000000" w:sz="4"/>
                    <w:bottom w:val="non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角色管理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实现对人员角色进行增加、修改、删除等操作</w:t>
                  </w:r>
                </w:p>
              </w:tc>
            </w:tr>
            <w:tr>
              <w:tc>
                <w:tcPr>
                  <w:tcW w:type="dxa" w:w="2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、接口</w:t>
                  </w: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6.1接口</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w:t>
                  </w:r>
                  <w:r>
                    <w:rPr>
                      <w:rFonts w:ascii="仿宋_GB2312" w:hAnsi="仿宋_GB2312" w:cs="仿宋_GB2312" w:eastAsia="仿宋_GB2312"/>
                      <w:sz w:val="18"/>
                      <w:color w:val="000000"/>
                    </w:rPr>
                    <w:t>HIS系统、移动护理等业务系统</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对接包含但不限于</w:t>
                  </w:r>
                  <w:r>
                    <w:rPr>
                      <w:rFonts w:ascii="仿宋_GB2312" w:hAnsi="仿宋_GB2312" w:cs="仿宋_GB2312" w:eastAsia="仿宋_GB2312"/>
                      <w:sz w:val="18"/>
                      <w:color w:val="000000"/>
                    </w:rPr>
                    <w:t>HIS系统、移动护理等系统，实现各环节采集到的药品信息回传给HIS系统，上传国家医保信息平台，实现药品采购入库、药品院内流通、药品临床发放等场景数据上报</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对接码上放心药品追溯码平台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对接码上放心药品追溯码平台，获取药品追溯码信息。根据大码和中码下载关联小码</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w:t>
                  </w:r>
                  <w:r>
                    <w:rPr>
                      <w:rFonts w:ascii="仿宋_GB2312" w:hAnsi="仿宋_GB2312" w:cs="仿宋_GB2312" w:eastAsia="仿宋_GB2312"/>
                      <w:sz w:val="18"/>
                      <w:color w:val="000000"/>
                    </w:rPr>
                    <w:t>配送企业</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w:t>
                  </w:r>
                  <w:r>
                    <w:rPr>
                      <w:rFonts w:ascii="仿宋_GB2312" w:hAnsi="仿宋_GB2312" w:cs="仿宋_GB2312" w:eastAsia="仿宋_GB2312"/>
                      <w:sz w:val="18"/>
                      <w:color w:val="000000"/>
                    </w:rPr>
                    <w:t>配送企业</w:t>
                  </w:r>
                  <w:r>
                    <w:rPr>
                      <w:rFonts w:ascii="仿宋_GB2312" w:hAnsi="仿宋_GB2312" w:cs="仿宋_GB2312" w:eastAsia="仿宋_GB2312"/>
                      <w:sz w:val="18"/>
                      <w:color w:val="000000"/>
                    </w:rPr>
                    <w:t>，</w:t>
                  </w:r>
                  <w:r>
                    <w:rPr>
                      <w:rFonts w:ascii="仿宋_GB2312" w:hAnsi="仿宋_GB2312" w:cs="仿宋_GB2312" w:eastAsia="仿宋_GB2312"/>
                      <w:sz w:val="18"/>
                      <w:color w:val="000000"/>
                    </w:rPr>
                    <w:t>获取</w:t>
                  </w:r>
                  <w:r>
                    <w:rPr>
                      <w:rFonts w:ascii="仿宋_GB2312" w:hAnsi="仿宋_GB2312" w:cs="仿宋_GB2312" w:eastAsia="仿宋_GB2312"/>
                      <w:sz w:val="18"/>
                      <w:color w:val="000000"/>
                    </w:rPr>
                    <w:t>送货信息、</w:t>
                  </w:r>
                  <w:r>
                    <w:rPr>
                      <w:rFonts w:ascii="仿宋_GB2312" w:hAnsi="仿宋_GB2312" w:cs="仿宋_GB2312" w:eastAsia="仿宋_GB2312"/>
                      <w:sz w:val="18"/>
                      <w:color w:val="000000"/>
                    </w:rPr>
                    <w:t>发票信息</w:t>
                  </w:r>
                  <w:r>
                    <w:rPr>
                      <w:rFonts w:ascii="仿宋_GB2312" w:hAnsi="仿宋_GB2312" w:cs="仿宋_GB2312" w:eastAsia="仿宋_GB2312"/>
                      <w:sz w:val="18"/>
                      <w:color w:val="000000"/>
                    </w:rPr>
                    <w:t>、药品</w:t>
                  </w:r>
                  <w:r>
                    <w:rPr>
                      <w:rFonts w:ascii="仿宋_GB2312" w:hAnsi="仿宋_GB2312" w:cs="仿宋_GB2312" w:eastAsia="仿宋_GB2312"/>
                      <w:sz w:val="18"/>
                      <w:color w:val="000000"/>
                    </w:rPr>
                    <w:t>追溯码等信息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w:t>
                  </w:r>
                  <w:r>
                    <w:rPr>
                      <w:rFonts w:ascii="仿宋_GB2312" w:hAnsi="仿宋_GB2312" w:cs="仿宋_GB2312" w:eastAsia="仿宋_GB2312"/>
                      <w:sz w:val="18"/>
                      <w:color w:val="000000"/>
                    </w:rPr>
                    <w:t>国家医保信息平台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w:t>
                  </w:r>
                  <w:r>
                    <w:rPr>
                      <w:rFonts w:ascii="仿宋_GB2312" w:hAnsi="仿宋_GB2312" w:cs="仿宋_GB2312" w:eastAsia="仿宋_GB2312"/>
                      <w:sz w:val="18"/>
                      <w:color w:val="000000"/>
                    </w:rPr>
                    <w:t>国家医保信息平台</w:t>
                  </w:r>
                  <w:r>
                    <w:rPr>
                      <w:rFonts w:ascii="仿宋_GB2312" w:hAnsi="仿宋_GB2312" w:cs="仿宋_GB2312" w:eastAsia="仿宋_GB2312"/>
                      <w:sz w:val="18"/>
                      <w:color w:val="000000"/>
                    </w:rPr>
                    <w:t>，实现</w:t>
                  </w:r>
                  <w:r>
                    <w:rPr>
                      <w:rFonts w:ascii="仿宋_GB2312" w:hAnsi="仿宋_GB2312" w:cs="仿宋_GB2312" w:eastAsia="仿宋_GB2312"/>
                      <w:sz w:val="18"/>
                      <w:color w:val="000000"/>
                    </w:rPr>
                    <w:t>追溯码信息上传</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对接陕西药品和</w:t>
                  </w:r>
                  <w:r>
                    <w:rPr>
                      <w:rFonts w:ascii="仿宋_GB2312" w:hAnsi="仿宋_GB2312" w:cs="仿宋_GB2312" w:eastAsia="仿宋_GB2312"/>
                      <w:sz w:val="18"/>
                      <w:color w:val="000000"/>
                    </w:rPr>
                    <w:t>医用耗材招采管理系统</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对接陕西药品和</w:t>
                  </w:r>
                  <w:r>
                    <w:rPr>
                      <w:rFonts w:ascii="仿宋_GB2312" w:hAnsi="仿宋_GB2312" w:cs="仿宋_GB2312" w:eastAsia="仿宋_GB2312"/>
                      <w:sz w:val="18"/>
                      <w:color w:val="000000"/>
                    </w:rPr>
                    <w:t>医用耗材招采管理系统</w:t>
                  </w:r>
                  <w:r>
                    <w:rPr>
                      <w:rFonts w:ascii="仿宋_GB2312" w:hAnsi="仿宋_GB2312" w:cs="仿宋_GB2312" w:eastAsia="仿宋_GB2312"/>
                      <w:sz w:val="18"/>
                      <w:color w:val="000000"/>
                    </w:rPr>
                    <w:t>（省招采平台），获取配送厂家上传的订单信息及配送信息</w:t>
                  </w:r>
                </w:p>
              </w:tc>
            </w:tr>
            <w:tr>
              <w:tc>
                <w:tcPr>
                  <w:tcW w:type="dxa" w:w="2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r>
                    <w:rPr>
                      <w:rFonts w:ascii="仿宋_GB2312" w:hAnsi="仿宋_GB2312" w:cs="仿宋_GB2312" w:eastAsia="仿宋_GB2312"/>
                      <w:sz w:val="18"/>
                      <w:color w:val="000000"/>
                    </w:rPr>
                    <w:t>、高拍仪</w:t>
                  </w: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10台</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识读方式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CMOS</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分辨率</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≥1920x1200Pixels</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光源</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柔和白光，支持无光源读取</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对焦方式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自动对焦</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调节范围</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≥400mm</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视野范围</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≥430*270mm</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帧率</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≥60帧/秒</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视场角</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≥H:50°V:30°</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连续扫描</w:t>
                  </w:r>
                  <w:r>
                    <w:rPr>
                      <w:rFonts w:ascii="仿宋_GB2312" w:hAnsi="仿宋_GB2312" w:cs="仿宋_GB2312" w:eastAsia="仿宋_GB2312"/>
                      <w:sz w:val="18"/>
                      <w:color w:val="000000"/>
                    </w:rPr>
                    <w:t>\感应扫描</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解码能力</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1D:EAN13,UPC,Code 39,Code 93,Code 128,UCC/EAN 128等;</w:t>
                  </w:r>
                </w:p>
                <w:p>
                  <w:pPr>
                    <w:pStyle w:val="null3"/>
                    <w:jc w:val="left"/>
                  </w:pPr>
                  <w:r>
                    <w:rPr>
                      <w:rFonts w:ascii="仿宋_GB2312" w:hAnsi="仿宋_GB2312" w:cs="仿宋_GB2312" w:eastAsia="仿宋_GB2312"/>
                      <w:sz w:val="18"/>
                      <w:color w:val="000000"/>
                    </w:rPr>
                    <w:t>2D:QR Code,Mrico QR,Data Matrix,PDF417等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输入电压</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DC 24V</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功耗</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提示方式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语音播报，指示灯</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通讯接口</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USB、网口等</w:t>
                  </w:r>
                </w:p>
              </w:tc>
            </w:tr>
            <w:tr>
              <w:tc>
                <w:tcPr>
                  <w:tcW w:type="dxa" w:w="2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PDA</w:t>
                  </w:r>
                </w:p>
              </w:tc>
              <w:tc>
                <w:tcPr>
                  <w:tcW w:type="dxa" w:w="25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4台</w:t>
                  </w:r>
                </w:p>
              </w:tc>
              <w:tc>
                <w:tcPr>
                  <w:tcW w:type="dxa" w:w="3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性能参数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CPU处理器，8核处理器，频率≥2.2GHZ</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运行内存</w:t>
                  </w:r>
                  <w:r>
                    <w:rPr>
                      <w:rFonts w:ascii="仿宋_GB2312" w:hAnsi="仿宋_GB2312" w:cs="仿宋_GB2312" w:eastAsia="仿宋_GB2312"/>
                      <w:sz w:val="18"/>
                      <w:color w:val="000000"/>
                    </w:rPr>
                    <w:t>≥8GB</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储存内存</w:t>
                  </w:r>
                  <w:r>
                    <w:rPr>
                      <w:rFonts w:ascii="仿宋_GB2312" w:hAnsi="仿宋_GB2312" w:cs="仿宋_GB2312" w:eastAsia="仿宋_GB2312"/>
                      <w:sz w:val="18"/>
                      <w:color w:val="000000"/>
                    </w:rPr>
                    <w:t>≥64GB</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Android 11或以上操作系统</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基础参数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电池，标配容量</w:t>
                  </w:r>
                  <w:r>
                    <w:rPr>
                      <w:rFonts w:ascii="仿宋_GB2312" w:hAnsi="仿宋_GB2312" w:cs="仿宋_GB2312" w:eastAsia="仿宋_GB2312"/>
                      <w:sz w:val="18"/>
                      <w:color w:val="000000"/>
                    </w:rPr>
                    <w:t>≥4500mAh电池符合GB31241-2022要求</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屏幕大小</w:t>
                  </w:r>
                  <w:r>
                    <w:rPr>
                      <w:rFonts w:ascii="仿宋_GB2312" w:hAnsi="仿宋_GB2312" w:cs="仿宋_GB2312" w:eastAsia="仿宋_GB2312"/>
                      <w:sz w:val="18"/>
                      <w:color w:val="000000"/>
                    </w:rPr>
                    <w:t>5～6英寸，分辨率≥1440*720；电容式触控</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摄像头，前置摄像头</w:t>
                  </w:r>
                  <w:r>
                    <w:rPr>
                      <w:rFonts w:ascii="仿宋_GB2312" w:hAnsi="仿宋_GB2312" w:cs="仿宋_GB2312" w:eastAsia="仿宋_GB2312"/>
                      <w:sz w:val="18"/>
                      <w:color w:val="000000"/>
                    </w:rPr>
                    <w:t>≥500万像素；后置摄像头≥1300万像素，自动对焦，支持手电筒模式</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防摔抗震，可承受</w:t>
                  </w:r>
                  <w:r>
                    <w:rPr>
                      <w:rFonts w:ascii="仿宋_GB2312" w:hAnsi="仿宋_GB2312" w:cs="仿宋_GB2312" w:eastAsia="仿宋_GB2312"/>
                      <w:sz w:val="18"/>
                      <w:color w:val="000000"/>
                    </w:rPr>
                    <w:t>≥1.5m高处到混凝土地面的多次跌落</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按键，两个扫描键、一个电源键、音量</w:t>
                  </w:r>
                  <w:r>
                    <w:rPr>
                      <w:rFonts w:ascii="仿宋_GB2312" w:hAnsi="仿宋_GB2312" w:cs="仿宋_GB2312" w:eastAsia="仿宋_GB2312"/>
                      <w:sz w:val="18"/>
                      <w:color w:val="000000"/>
                    </w:rPr>
                    <w:t>+-键，一个自定义键</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Type-C</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网络参数</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WIFI网络，支持802.11a/b/g/n/ac/r协议，支持2.4G/5G双频支持2G/3G/4G/5G全网通</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蓝牙网络，</w:t>
                  </w:r>
                  <w:r>
                    <w:rPr>
                      <w:rFonts w:ascii="仿宋_GB2312" w:hAnsi="仿宋_GB2312" w:cs="仿宋_GB2312" w:eastAsia="仿宋_GB2312"/>
                      <w:sz w:val="18"/>
                      <w:color w:val="000000"/>
                    </w:rPr>
                    <w:t>≥Bluetooth 5.0</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数据采集</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扫描拣选，扫码需具备十字光线瞄准定位</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认证要求</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入网许可证、无线电发射设备型号核准证</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电子安全使用规范：设备符合</w:t>
                  </w:r>
                  <w:r>
                    <w:rPr>
                      <w:rFonts w:ascii="仿宋_GB2312" w:hAnsi="仿宋_GB2312" w:cs="仿宋_GB2312" w:eastAsia="仿宋_GB2312"/>
                      <w:sz w:val="18"/>
                      <w:color w:val="000000"/>
                    </w:rPr>
                    <w:t>CQC标准电子产品有害物限制使用的要求；</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、扫码枪（无线）</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50台</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光源类型</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白色</w:t>
                  </w:r>
                  <w:r>
                    <w:rPr>
                      <w:rFonts w:ascii="仿宋_GB2312" w:hAnsi="仿宋_GB2312" w:cs="仿宋_GB2312" w:eastAsia="仿宋_GB2312"/>
                      <w:sz w:val="18"/>
                      <w:color w:val="000000"/>
                    </w:rPr>
                    <w:t>LED照明、红色LED瞄准</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CPU</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≥32位 ARM 微处理器</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扫描模式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手动触发</w:t>
                  </w:r>
                  <w:r>
                    <w:rPr>
                      <w:rFonts w:ascii="仿宋_GB2312" w:hAnsi="仿宋_GB2312" w:cs="仿宋_GB2312" w:eastAsia="仿宋_GB2312"/>
                      <w:sz w:val="18"/>
                      <w:color w:val="000000"/>
                    </w:rPr>
                    <w:t>/自动感应</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识读方式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CMOS</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分辨率</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≥1280x800 Pixels</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帧率</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≥60帧/秒</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支持系统</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UOS/</w:t>
                  </w:r>
                  <w:r>
                    <w:rPr>
                      <w:rFonts w:ascii="仿宋_GB2312" w:hAnsi="仿宋_GB2312" w:cs="仿宋_GB2312" w:eastAsia="仿宋_GB2312"/>
                      <w:sz w:val="18"/>
                      <w:color w:val="000000"/>
                    </w:rPr>
                    <w:t>Android/Windows/Linux/IOS等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扫描精度</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≥3mil</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扫描角度</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旋转</w:t>
                  </w:r>
                  <w:r>
                    <w:rPr>
                      <w:rFonts w:ascii="仿宋_GB2312" w:hAnsi="仿宋_GB2312" w:cs="仿宋_GB2312" w:eastAsia="仿宋_GB2312"/>
                      <w:sz w:val="18"/>
                      <w:color w:val="000000"/>
                    </w:rPr>
                    <w:t>360°，倾角≥65°，仰角≥60°</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扫描景深</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65~460mm（13mil code39）</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解码能力</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1D:Codabar,Code11,Code39</w:t>
                  </w:r>
                  <w:r>
                    <w:rPr>
                      <w:rFonts w:ascii="仿宋_GB2312" w:hAnsi="仿宋_GB2312" w:cs="仿宋_GB2312" w:eastAsia="仿宋_GB2312"/>
                      <w:sz w:val="18"/>
                      <w:color w:val="3E3E3F"/>
                    </w:rPr>
                    <w:t>，</w:t>
                  </w:r>
                  <w:r>
                    <w:rPr>
                      <w:rFonts w:ascii="仿宋_GB2312" w:hAnsi="仿宋_GB2312" w:cs="仿宋_GB2312" w:eastAsia="仿宋_GB2312"/>
                      <w:sz w:val="18"/>
                      <w:color w:val="3E3E3F"/>
                    </w:rPr>
                    <w:t>Code32,Interleaved 2of5,Industrial 2of5,Matrix 2of5,Code93,Code128,GS1-128,UPC,EAN 8,EAN 13,GS1 DataBar(RSS14),GS1 DataBar Limited,GS1 DataBar Expanded等；</w:t>
                  </w:r>
                  <w:r>
                    <w:br/>
                  </w:r>
                  <w:r>
                    <w:rPr>
                      <w:rFonts w:ascii="仿宋_GB2312" w:hAnsi="仿宋_GB2312" w:cs="仿宋_GB2312" w:eastAsia="仿宋_GB2312"/>
                      <w:sz w:val="18"/>
                      <w:color w:val="3E3E3F"/>
                    </w:rPr>
                    <w:t>2D: PDF417,Micro PDF417,QR Code,Micro QR,Data Matrix,Aztec Code等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输入电压</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DC 5V</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工作电流</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330mA</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提示方式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蜂鸣器，指示灯等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支持接口</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USB/USB-VCP等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充电方式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基座接触式充电、</w:t>
                  </w:r>
                  <w:r>
                    <w:rPr>
                      <w:rFonts w:ascii="仿宋_GB2312" w:hAnsi="仿宋_GB2312" w:cs="仿宋_GB2312" w:eastAsia="仿宋_GB2312"/>
                      <w:sz w:val="18"/>
                      <w:color w:val="000000"/>
                    </w:rPr>
                    <w:t>TYPE-C线充电</w:t>
                  </w:r>
                  <w:r>
                    <w:rPr>
                      <w:rFonts w:ascii="仿宋_GB2312" w:hAnsi="仿宋_GB2312" w:cs="仿宋_GB2312" w:eastAsia="仿宋_GB2312"/>
                      <w:sz w:val="18"/>
                      <w:color w:val="000000"/>
                    </w:rPr>
                    <w:t>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工作时间</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连续工作</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24小时</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防护等级</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≥IP65</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光照强度</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≤5000Lux</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通讯方式</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2.4G无线通讯/蓝牙无线通讯等</w:t>
                  </w:r>
                </w:p>
              </w:tc>
            </w:tr>
            <w:tr>
              <w:tc>
                <w:tcPr>
                  <w:tcW w:type="dxa" w:w="281"/>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通讯距离</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2.4G模式：≥100米（空旷场所）</w:t>
                  </w:r>
                </w:p>
                <w:p>
                  <w:pPr>
                    <w:pStyle w:val="null3"/>
                    <w:jc w:val="left"/>
                  </w:pPr>
                  <w:r>
                    <w:rPr>
                      <w:rFonts w:ascii="仿宋_GB2312" w:hAnsi="仿宋_GB2312" w:cs="仿宋_GB2312" w:eastAsia="仿宋_GB2312"/>
                      <w:sz w:val="18"/>
                      <w:color w:val="000000"/>
                    </w:rPr>
                    <w:t>蓝牙模式：</w:t>
                  </w:r>
                  <w:r>
                    <w:rPr>
                      <w:rFonts w:ascii="仿宋_GB2312" w:hAnsi="仿宋_GB2312" w:cs="仿宋_GB2312" w:eastAsia="仿宋_GB2312"/>
                      <w:sz w:val="18"/>
                      <w:color w:val="000000"/>
                    </w:rPr>
                    <w:t>≥10米（空旷场所）</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自签订合同之日起2个月内完成建设，包括硬件的安装调试、系统开发、系统对接、试运行并交付采购人正常投入使用。验收合格后质保期三年。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西安市中医医院及分院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中标方按照招标要求完成项目的建设（提交上线报告）且验收合格后，中标方向招标方提供担保金额不低于项目总价的10%且有效期不少于3年的银行保函，招标方收到符合要求的银行保函后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1、合同中未约定的，按《民法典》中的相关条款执行。 2、未按要求提供服务或服务质量不能满足合同要求，甲方有权解除合同，乙方应向甲方支付合同总价款5%的违约金。 3、未经甲方同意，乙方不得擅自将本项目服务分包或转包第三方承担。 4、各条款约定的违约金可自甲方未支付款项中直接扣除，违约金若不能弥补甲方损失的，乙方还应赔偿甲方损失。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商务条款： （一）报价 所有报价包含所有系统功能要求、自验收之日起三年质保、与业务系统的接口费用、税费、培训费、安装调试实施费用及其他不可预见的费用等。 （二）组织管理要求 投标产品具有系统著作权登记证书或知识产权证书或软件产品合法来源的证明。 保证所供货物齐全，并在10天内安装到位，能够独立正常使用/运行。 （三）服务要求： 在合同执行过程中需要服务商应执行的相关服务标准和应当履行的相关义务。 1、项目组织管理要求 1）供应商应充分考虑满足投标项目的建设要求，提出完整的项目管理、项目实施、项目培训、项目验收、售后服务方案。 2）供应商必须提供可靠的售后服务保障，保证提供长期、稳定的技术实现服务。 3）供应商应保证，在中华人民共和国境内使用投标技术、服务或其任何一部分时，不会产生因第三方提出侵犯其专利权、商标权或其它知识产权而引起的法律和经济纠纷。如供应商不拥有相应的知识产权，则在投标价中必须包括合法获取该知识产权的相关证明文件。 4）满足多院区管理。 5）供应商承诺按照国家网络安全等级保护三级认证要求建设，并配合采购人完成国家网络安全等级保护三级认证备案。 6）按照商用密码应用安全性评估要求进行建设，并提供承诺书。 2、项目培训要求 供应商须提出详细的项目培训计划，具体如下： 1）对药剂科人员的培训计划。 2）培训课程安排、培训方式由供应商提供，时间、地点及场所由采购人提供。 3）提供系统操作培训：主要面向药剂科人员，提供操作培训。 3、项目验收要求 项目的工作内容及成果文档的提交应覆盖以下内容，电子文档是成果不可分割的部分。 1）系统的体系架构及描述； 2）提供的其它技术手册，包括需求分析报告、系统实施报告、软件培训资料、软件使用操作手册、项目验收报告。 4项目售后服务要求 1）质保期要求（或服务期限）：自终验合格后提供为期三年的免费服务。 2）供应商须根据本次招标文件所制定的目标和范围，提出相应的售后服务方案。 3）技术实现要求：供应商承诺项目验收后提供7*24小时免费售后技术服务。质保期内出现问题，1小时内做出明确响应和安排，2小时内到达现场，12小时内解决问题，提供不间断的服务直到系统正常运行；提供固定1名技术人员随时提供技术服务。 4）对于硬件故障，2小时内更换备用设备，并恢复系统正常运行。 5）售后服务内容：包括免费升级、功能完善、故障排除、定期巡检、性能调优、技术咨询等，并负责系统的开发、处理、协调与各系统软件等供应商的关系。 6）质保期内提供免费的售后服务。供应商须说明质保期外服务内容及收费标准，每年的维保费用不得超过中标价格的6%。 以上商务条款不允许负偏离。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磋商的，须提供法定代表人委托授权书及被授权人提交响应文件截止时间前三个月内任意一个月的社会保障资金（养老保险或医疗保险）的缴纳证明及被授权人身份证，法定代表人参加磋商时,只需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供应商非西安市中医医院职工及其亲属投资开办或控股的企业</w:t>
            </w:r>
          </w:p>
        </w:tc>
        <w:tc>
          <w:tcPr>
            <w:tcW w:type="dxa" w:w="3322"/>
          </w:tcPr>
          <w:p>
            <w:pPr>
              <w:pStyle w:val="null3"/>
            </w:pPr>
            <w:r>
              <w:rPr>
                <w:rFonts w:ascii="仿宋_GB2312" w:hAnsi="仿宋_GB2312" w:cs="仿宋_GB2312" w:eastAsia="仿宋_GB2312"/>
              </w:rPr>
              <w:t>供应商提供非西安市中医医院职工及其亲属投资开办或控股的企业书面声明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响应报价超过采购预算或者最高限价（不合格）， 响应报价未超过采购预算或者最高限价（合格）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服务期限不满足竞争性磋商文件要求（不合格），服务期限满足竞争性磋商文件要求（合格）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响应文件的签署、盖章不符合竞争性磋商文件要求（不合格）， 响应文件的签署、盖章符合竞争性磋商文件要求（合格）</w:t>
            </w:r>
          </w:p>
        </w:tc>
        <w:tc>
          <w:tcPr>
            <w:tcW w:type="dxa" w:w="1661"/>
          </w:tcPr>
          <w:p>
            <w:pPr>
              <w:pStyle w:val="null3"/>
            </w:pPr>
            <w:r>
              <w:rPr>
                <w:rFonts w:ascii="仿宋_GB2312" w:hAnsi="仿宋_GB2312" w:cs="仿宋_GB2312" w:eastAsia="仿宋_GB2312"/>
              </w:rPr>
              <w:t>响应文件封面 分项报价表.docx 标的清单 报价表 响应函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响应文件无响应有效期或有效期达不到竞争性磋商文件要求的（不合格），响应文件响应有效期达到竞争性磋商文件要求的（合格）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响应文件的标的数量不满足采购要求的（不合格），响应文件的标的数量满足采购要求的（合格）</w:t>
            </w:r>
          </w:p>
        </w:tc>
        <w:tc>
          <w:tcPr>
            <w:tcW w:type="dxa" w:w="1661"/>
          </w:tcPr>
          <w:p>
            <w:pPr>
              <w:pStyle w:val="null3"/>
            </w:pPr>
            <w:r>
              <w:rPr>
                <w:rFonts w:ascii="仿宋_GB2312" w:hAnsi="仿宋_GB2312" w:cs="仿宋_GB2312" w:eastAsia="仿宋_GB2312"/>
              </w:rPr>
              <w:t>分项报价表.docx 服务内容及服务邀请应答表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响应文件含有采购人不能接受的附加条件的（不合格），响应文件没有采购人不能接受的附加条件的（合格）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 商务应答表 供应商诚信承诺书.docx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采购人要求，参数能完全满足使用要求得36分，如参数及技术规格低于招标文件要求，即为负偏离，标▲项提供截图展示，每提供一项得2分，最高得12分，未提供或截图不清晰不得分；剩余功能最高得24分，不满足一项扣1分，扣完为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公司实力</w:t>
            </w:r>
          </w:p>
        </w:tc>
        <w:tc>
          <w:tcPr>
            <w:tcW w:type="dxa" w:w="2492"/>
          </w:tcPr>
          <w:p>
            <w:pPr>
              <w:pStyle w:val="null3"/>
            </w:pPr>
            <w:r>
              <w:rPr>
                <w:rFonts w:ascii="仿宋_GB2312" w:hAnsi="仿宋_GB2312" w:cs="仿宋_GB2312" w:eastAsia="仿宋_GB2312"/>
              </w:rPr>
              <w:t>信息技术服务管理体系认证ISO20000； 信息安全管理体系认证ISO27001； 质量管理体系认证ISO9001； 供应商具备以上认证证书。（在有效期内的证书复印件）每提供1个，得1分，最高得3分。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公司实力.docx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供应商具有与西成药追溯码系统相关的软件著作权证书，提供证书复印件并加盖公章，具有证书得1分，否则不得分。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知识产权.docx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一、评审内容 根据投标人提供的①服务模式；②服务流程设计；③应急方案进行评审。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三、赋分标准（满分6分） ①服务模式每完全满足一项评审标准最高得0.5分，满分2分；不提供不得分。 ②服务流程设计每完全满足一项评审标准最高得0.5分，满分2分；不提供不得分。 ③应急方案每完全满足一项评审标准最高得0.5分，满分2分；不提供不得分。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根据投标人提供的实施方案的合理性，包括①软件改造、调试、系统集成、试运行、测试、调优②项目管理制度③质量保证体制，根据实施方案响应情况进行评审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三、赋分标准（满分6分） ①软件改造、调试、系统集成、试运行、测试、调优每完全满足一项评审标准最高得0.5分，满分2分；不提供不得分。 ②项目管理制度每完全满足一项评审标准最高得0.5分，满分2分；不提供不得分。 ③质量保证体制每完全满足一项评审标准最高得0.5分，满分2分；不提供不得分。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投标人提供针对本项目的培训方案，方案内容包含：①针对该项目有详尽培训服务承诺；②培训计划；③培训服务措施；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三、赋分标准（满分6分） ①针对该项目有详尽培训服务承诺，每完全满足一项评审标准最高得0.5分，满分2分；不提供不得分。 ②培训计划每完全满足一项评审标准最高得0.5分，满分2分；不提供不得分。 ③培训服务措施每完全满足一项评审标准最高得0.5分，满分2分；不提供不得分。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质保期延伸服务： 投标人在满足采购需求的“验收合格后质保期三年”的基础上，质保期每增加6个月加1分，满分2分。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质保服务.docx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投标人提供针对本项目的售后服务方案，方案内容包含：①售后服务承诺、②故障响应时间响应方式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三、赋分标准（满分4分） ①售后服务承诺每完全满足一项评审标准最高得0.5分，满分2分；不提供不得分。 ②故障响应时间响应方式每完全满足一项评审标准最高得0.5分，满分2分；不提供不得分。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供应商提供2022年9月至今同类项目业绩案例，须提供签订的合同复印件及验收报告并加盖公章，每提供一个案例得2分，最多得6分，缺少合同复印件和验收报告任意一项不得分。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磋商响应价格最低的报价为评审基准价，其价格分为满分。其他供应商的价格分统一按照下列公式计算：价格分=(评审基准价／最终磋商响应报价)×30，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详见附件：公司实力.docx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详见附件：知识产权.docx</w:t>
      </w:r>
    </w:p>
    <w:p>
      <w:pPr>
        <w:pStyle w:val="null3"/>
        <w:ind w:firstLine="960"/>
      </w:pPr>
      <w:r>
        <w:rPr>
          <w:rFonts w:ascii="仿宋_GB2312" w:hAnsi="仿宋_GB2312" w:cs="仿宋_GB2312" w:eastAsia="仿宋_GB2312"/>
        </w:rPr>
        <w:t>详见附件：质保服务.docx</w:t>
      </w:r>
    </w:p>
    <w:p>
      <w:pPr>
        <w:pStyle w:val="null3"/>
        <w:ind w:firstLine="960"/>
      </w:pPr>
      <w:r>
        <w:rPr>
          <w:rFonts w:ascii="仿宋_GB2312" w:hAnsi="仿宋_GB2312" w:cs="仿宋_GB2312" w:eastAsia="仿宋_GB2312"/>
        </w:rPr>
        <w:t>详见附件：总体设计方案.docx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