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版本号：LZBE2025-1906.1B120251118001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消防器材及设施设备采购项目(二次)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LZBE2025-1906.1B1</w:t>
      </w:r>
      <w:r>
        <w:br/>
      </w:r>
      <w:r>
        <w:br/>
      </w:r>
      <w:r>
        <w:br/>
      </w:r>
    </w:p>
    <w:p>
      <w:pPr>
        <w:pStyle w:val="null3"/>
        <w:jc w:val="center"/>
        <w:outlineLvl w:val="2"/>
      </w:pPr>
      <w:r>
        <w:rPr>
          <w:rFonts w:ascii="仿宋_GB2312" w:hAnsi="仿宋_GB2312" w:cs="仿宋_GB2312" w:eastAsia="仿宋_GB2312"/>
          <w:sz w:val="28"/>
          <w:b/>
        </w:rPr>
        <w:t>西安市人民医院（西安市第四医院）</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西安市人民医院（西安市第四医院）</w:t>
      </w:r>
      <w:r>
        <w:rPr>
          <w:rFonts w:ascii="仿宋_GB2312" w:hAnsi="仿宋_GB2312" w:cs="仿宋_GB2312" w:eastAsia="仿宋_GB2312"/>
        </w:rPr>
        <w:t>委托，拟对</w:t>
      </w:r>
      <w:r>
        <w:rPr>
          <w:rFonts w:ascii="仿宋_GB2312" w:hAnsi="仿宋_GB2312" w:cs="仿宋_GB2312" w:eastAsia="仿宋_GB2312"/>
        </w:rPr>
        <w:t>消防器材及设施设备采购项目(二次)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LZBE2025-1906.1B1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消防器材及设施设备采购项目(二次)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本项目拟对消防器材及设施设备采购项目进行采购，具体详见采购文件。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提供自2025年1月起至响应文件递交截止时间止任意时段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财务状况：供应商提供2024年度经审计的财务审计报告（事业法人可提供部门决算报告）；或提供供应商基本账户银行出具的于响应文件递交截止时间前6个月内出具的资信证明；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 其中：重大违法记录是指供应商因违法经营受到刑事处罚或者责令停产停业、吊销许可证或者执照、较大数额罚款等行政处罚。供应商需在项目电子化交易系统中按要求上传相应证明文件并进行电子签章；</w:t>
      </w:r>
    </w:p>
    <w:p>
      <w:pPr>
        <w:pStyle w:val="null3"/>
      </w:pPr>
      <w:r>
        <w:rPr>
          <w:rFonts w:ascii="仿宋_GB2312" w:hAnsi="仿宋_GB2312" w:cs="仿宋_GB2312" w:eastAsia="仿宋_GB2312"/>
        </w:rPr>
        <w:t>5、具有履行合同所必需的设备和专业技术能力书面声明函：具有履行合同所必需的设备和专业技术能力书面声明函；供应商需在项目电子化交易系统中按要求上传相应证明文件并进行电子签章；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6、法定代表人授权书（附法定代表人、被授权人身份证件及被授权人在本单位近三个月内任意一个月的社保缴纳证明资料）（法定代表人直接参加的，须提供法定代表人身份证明及身份证复印件且与营业执 照上信息须一致）：法定代表人授权书（附法定代表人、被授权人身份证件及被授权人在本单位近三个月内任意一个月的社保缴纳证明资料）（法定代表人直接参加的，须提供法定代表人身份证明及身份证复印件且与营业执 照上信息须一致），供应商需在项目电子化交易系统中按要求上传相应证明文件并进行电子签章；</w:t>
      </w:r>
    </w:p>
    <w:p>
      <w:pPr>
        <w:pStyle w:val="null3"/>
      </w:pPr>
      <w:r>
        <w:rPr>
          <w:rFonts w:ascii="仿宋_GB2312" w:hAnsi="仿宋_GB2312" w:cs="仿宋_GB2312" w:eastAsia="仿宋_GB2312"/>
        </w:rPr>
        <w:t>7、供应商信用状况：：供应商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响应文件递交截止时间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西安市人民医院（西安市第四医院）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西安市长安区航天新城航天东路155号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029-029-61220013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吴岳、孙承国、刘强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029-88228899-652、650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以预算金额为取费基数，收费标准参照计价格[2002]1980号、发改价格[2011]534号中货物类标准下浮20%收取。2、成交单位在领取成交通知书之前，须向采购代理机构支付招标代理服务费。3、招标代理服务费以转账或现金形式缴纳至以下账户：开户名称：龙寰项目管理咨询有限公司 开户银行：平安银行西安高新路支行 账 号：30201278017789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踏勘时间：2025-11-26 09:00:00</w:t>
            </w:r>
          </w:p>
          <w:p>
            <w:pPr>
              <w:pStyle w:val="null3"/>
              <w:ind w:firstLine="975"/>
            </w:pPr>
            <w:r>
              <w:rPr>
                <w:rFonts w:ascii="仿宋_GB2312" w:hAnsi="仿宋_GB2312" w:cs="仿宋_GB2312" w:eastAsia="仿宋_GB2312"/>
              </w:rPr>
              <w:t>踏勘地点：2025年11月26日09:00时，先在西安市人民医院（西安市第四医院）航天城院区南门集合，等航天城院区踏勘结束，再前往大差市院区进行踏勘；</w:t>
            </w:r>
          </w:p>
          <w:p>
            <w:pPr>
              <w:pStyle w:val="null3"/>
              <w:ind w:firstLine="975"/>
            </w:pPr>
            <w:r>
              <w:rPr>
                <w:rFonts w:ascii="仿宋_GB2312" w:hAnsi="仿宋_GB2312" w:cs="仿宋_GB2312" w:eastAsia="仿宋_GB2312"/>
              </w:rPr>
              <w:t>联系人：吴岳</w:t>
            </w:r>
          </w:p>
          <w:p>
            <w:pPr>
              <w:pStyle w:val="null3"/>
              <w:ind w:firstLine="975"/>
            </w:pPr>
            <w:r>
              <w:rPr>
                <w:rFonts w:ascii="仿宋_GB2312" w:hAnsi="仿宋_GB2312" w:cs="仿宋_GB2312" w:eastAsia="仿宋_GB2312"/>
              </w:rPr>
              <w:t>联系电话号码：18829213991</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西安市人民医院（西安市第四医院）</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西安市人民医院（西安市第四医院）</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1、保证技术指标先进、质量性能可靠、进货渠道正常、功能齐全、配置合理，全面满足技术要求。 2、符合国家有关规范要求，确保达到最佳运行状态。 3、具有良好的外观，适合安装场所的使用。</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联系人：吴岳</w:t>
      </w:r>
    </w:p>
    <w:p>
      <w:pPr>
        <w:pStyle w:val="null3"/>
      </w:pPr>
      <w:r>
        <w:rPr>
          <w:rFonts w:ascii="仿宋_GB2312" w:hAnsi="仿宋_GB2312" w:cs="仿宋_GB2312" w:eastAsia="仿宋_GB2312"/>
        </w:rPr>
        <w:t>联系电话：029-88228899-652、650</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消防器材及设施设备及消防器材换粉（气），1项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消防器材及设施设备及消防器材换粉（气）</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标的名称：消防器材及设施设备及消防器材换粉（气）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拟采购消防器材及设施设备1项，具体采购需求及参数要求详见竞争性磋商响应文件附件。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自合同签订之日起一年或总预算金额执行完为止，按需配送。供货时间：接到采购人订单之日起10日内交货。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无预付款，单价采购，合同签订后，每批次货物按照采购方指定地点，实施、调试完成，平稳运行1个月后组织验收。验收合格后，自乙方前往甲方办理资金结算之日起</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（一）货物到达甲方指定地点后，甲方根据合同要求，进行外观验收，确认产地、规格、型号和数量。 （二）按照甲方标书和乙方投标文件及承诺中的要求，安装、调试、检测，平稳运行，确认项目完成，乙方进行自检，自检合格后，准备验收文件，并书面通知甲方。 （三）甲方确认乙方的自检内容后，组织乙方（必要时请有关专家）进行项目验收。验收合格后，填写验收单（一式六份）作为对项目的结算依据。 （四）如验收不合格，乙方应负责整改或返修，直至甲方验收合格为止，且工期不顺延，由此产生的费用及造成的损失，乙方自行承担。若乙方交付项目验收不合格累计超过3次的，甲方有权选择解除合同，若合同解除，乙方应按照本协议违约责任第（二）款承担违约责任。若因乙方项目货物验收不合格导致乙方货物交付延期的，乙方仍应按本合同违约责任第（二）款承担违约责任。 （五）乙方向甲方提交项目实施过程中的所有资料，以便甲方日后管理和维护。 （六）验收依据 1、磋商文件、响应文件、澄清表（函）； 2、本合同及附件文本； 3、国家相应的标准、规范； 4、使用说明书；（中文）； 5、其它资料。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质保期从每批次验收合格之日起两年，质保期内供应商负责提供保修及上门服务。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1.按《中华人民共和国民法典》中的相关条款执行。 2.未按合同要求提供货物，或货物质量不能满足本合同、招标文件、投标文件等相关要求的，甲方有权解除合同（合同自书面解除通知到达乙方之日起解除），乙方赔偿甲方解除合同的全部损失（包括但不限于重新采购产生的费用及其它由此造成的甲方对第三方的违约损失）。同时按《政府采购法》有关处罚条款报监管机构进行相应的处罚。 3.乙方逾期交付货物的，除应及时交足货物外，同时还应按合同最高执行总价的3‰/天向甲方支付违约金。逾期交货超过10天，视为乙方根本违约，甲方有权解除合同（合同自书面解除通知到达乙方之日起解除），乙方应按合同最高执行总价的30%承担违约金，若违约金不足以弥补甲方解除合同的全部损失（包括但不限于重新采购产生的费用、合同未履行导致不能按规划交付使用可能产生的费用）的由乙方另行支付。 4.因乙方产品内在质量问题，引发甲方生产或质量事故，造成甲方及第三人人身损失、财产损失的，乙方应赔偿甲方为此支付的所有费用（包括但不限于赔偿的费用、必要的律师费、罚款等），此责任不因甲方已进行质量监测而免除。 5.合同执行中发生争议的，当事人双方应协商解决，无法协商或协商达不成一致时，双方均有权向甲方住所地人民法院提请诉讼。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1、本项目核心产品为：品目5：手提式干粉灭火器中的“1.4 5KG”及品目86：消防泵/喷淋泵/稳压泵； 2、付款方式说明：因电子化交易系统设置、本章3.4.4条款（支付约定）无法修改，我系统线上模板，具体付款方式以合同为准。 3、结算依据：以合同单价为结算依据，单价采购，据实结算。 4、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5、需要落实的政府采购政策：（1）、《国务院办公厅关于建立政府强制采购节能产品制度的通知》（国办发〔2007〕51号）；（2）、《财政部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6、本项目成交供应商须在领取成交通知书时，线下提供纸质响应文件（正本一份，副本二份，纸质文件需与系统签章版文件保持一致）交由采购代理机构。 7、进入相关部门“黑名单”的供应商以及有行贿、串标等违法违规行为并经查实的供应商不能参与本院采购项目的投标活动。对“黑名单”中供应商采取“一票否决”及“随时叫停”机制，在报名、资格审核、评审、公示、合同签订等各环节一旦发现并查实有行贿等违法违规行为的，立即取消其相关资格且终止合同签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三、相关资格证明资料.docx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提供自2025年1月起至响应文件递交截止时间止任意时段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三、相关资格证明资料.docx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财务状况：供应商提供2024年度经审计的财务审计报告（事业法人可提供部门决算报告）；或提供供应商基本账户银行出具的于响应文件递交截止时间前6个月内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三、相关资格证明资料.docx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三、相关资格证明资料.docx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三、相关资格证明资料.docx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法定代表人授权书（附法定代表人、被授权人身份证件及被授权人在本单位近三个月内任意一个月的社保缴纳证明资料）（法定代表人直接参加的，须提供法定代表人身份证明及身份证复印件且与营业执 照上信息须一致）</w:t>
            </w:r>
          </w:p>
        </w:tc>
        <w:tc>
          <w:tcPr>
            <w:tcW w:type="dxa" w:w="3322"/>
          </w:tcPr>
          <w:p>
            <w:pPr>
              <w:pStyle w:val="null3"/>
            </w:pPr>
            <w:r>
              <w:rPr>
                <w:rFonts w:ascii="仿宋_GB2312" w:hAnsi="仿宋_GB2312" w:cs="仿宋_GB2312" w:eastAsia="仿宋_GB2312"/>
              </w:rPr>
              <w:t>法定代表人授权书（附法定代表人、被授权人身份证件及被授权人在本单位近三个月内任意一个月的社保缴纳证明资料）（法定代表人直接参加的，须提供法定代表人身份证明及身份证复印件且与营业执 照上信息须一致），供应商需在项目电子化交易系统中按要求上传相应证明文件并进行电子签章；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二、法定代表人授权委托书.docx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响应文件递交截止时间后的网站查询记录为准；</w:t>
            </w:r>
          </w:p>
        </w:tc>
        <w:tc>
          <w:tcPr>
            <w:tcW w:type="dxa" w:w="1661"/>
          </w:tcPr>
          <w:p>
            <w:pPr>
              <w:pStyle w:val="null3"/>
            </w:pPr>
            <w:r>
              <w:rPr>
                <w:rFonts w:ascii="仿宋_GB2312" w:hAnsi="仿宋_GB2312" w:cs="仿宋_GB2312" w:eastAsia="仿宋_GB2312"/>
              </w:rPr>
              <w:t>三、相关资格证明资料.docx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2.供应商提交的相关证明材料，应当加盖供应商（法定名称） 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一、磋商响应第一次报价表及分项报价表.docx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一、磋商响应第一次报价表及分项报价表.docx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响应文件的签署、盖章、有效性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二、法定代表人授权委托书.docx 中小企业声明函 报价表 三、相关资格证明资料.docx 五、技术响应.docx 响应文件封面 残疾人福利性单位声明函 一、磋商响应第一次报价表及分项报价表.docx 六、承诺书.docx 标的清单 四、商务响应.docx 响应函 七、落实政府采购政策.docx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满足磋商文件要求，无缺漏项，供应商的分项报价不得高于本项目采购需求中各品目单价最高限价。</w:t>
            </w:r>
          </w:p>
        </w:tc>
        <w:tc>
          <w:tcPr>
            <w:tcW w:type="dxa" w:w="1661"/>
          </w:tcPr>
          <w:p>
            <w:pPr>
              <w:pStyle w:val="null3"/>
            </w:pPr>
            <w:r>
              <w:rPr>
                <w:rFonts w:ascii="仿宋_GB2312" w:hAnsi="仿宋_GB2312" w:cs="仿宋_GB2312" w:eastAsia="仿宋_GB2312"/>
              </w:rPr>
              <w:t>响应文件封面 一、磋商响应第一次报价表及分项报价表.docx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未出现采购文件规定的无效响应情形</w:t>
            </w:r>
          </w:p>
        </w:tc>
        <w:tc>
          <w:tcPr>
            <w:tcW w:type="dxa" w:w="1661"/>
          </w:tcPr>
          <w:p>
            <w:pPr>
              <w:pStyle w:val="null3"/>
            </w:pPr>
            <w:r>
              <w:rPr>
                <w:rFonts w:ascii="仿宋_GB2312" w:hAnsi="仿宋_GB2312" w:cs="仿宋_GB2312" w:eastAsia="仿宋_GB2312"/>
              </w:rPr>
              <w:t>二、法定代表人授权委托书.docx 中小企业声明函 报价表 三、相关资格证明资料.docx 五、技术响应.docx 响应文件封面 残疾人福利性单位声明函 一、磋商响应第一次报价表及分项报价表.docx 六、承诺书.docx 标的清单 四、商务响应.docx 响应函 七、落实政府采购政策.docx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技术部分-技术指标</w:t>
            </w:r>
          </w:p>
        </w:tc>
        <w:tc>
          <w:tcPr>
            <w:tcW w:type="dxa" w:w="2492"/>
          </w:tcPr>
          <w:p>
            <w:pPr>
              <w:pStyle w:val="null3"/>
            </w:pPr>
            <w:r>
              <w:rPr>
                <w:rFonts w:ascii="仿宋_GB2312" w:hAnsi="仿宋_GB2312" w:cs="仿宋_GB2312" w:eastAsia="仿宋_GB2312"/>
              </w:rPr>
              <w:t>技术指标完全满足磋商文件要求得15分，技术指标有1项负偏离扣1分，扣完为止。供应商须提供相关技术指标证明材料予以佐证。证明材料不限于检测报告、试验报告、产品彩页、厂家出具的技术证明文件、功能截图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四、商务响应.docx</w:t>
            </w:r>
          </w:p>
          <w:p>
            <w:pPr>
              <w:pStyle w:val="null3"/>
            </w:pPr>
            <w:r>
              <w:rPr>
                <w:rFonts w:ascii="仿宋_GB2312" w:hAnsi="仿宋_GB2312" w:cs="仿宋_GB2312" w:eastAsia="仿宋_GB2312"/>
              </w:rPr>
              <w:t>五、技术响应.docx</w:t>
            </w:r>
          </w:p>
        </w:tc>
      </w:tr>
      <w:tr>
        <w:tc>
          <w:tcPr>
            <w:tcW w:type="dxa" w:w="831"/>
            <w:vMerge/>
          </w:tcPr>
          <w:p/>
        </w:tc>
        <w:tc>
          <w:tcPr>
            <w:tcW w:type="dxa" w:w="1661"/>
          </w:tcPr>
          <w:p>
            <w:pPr>
              <w:pStyle w:val="null3"/>
            </w:pPr>
            <w:r>
              <w:rPr>
                <w:rFonts w:ascii="仿宋_GB2312" w:hAnsi="仿宋_GB2312" w:cs="仿宋_GB2312" w:eastAsia="仿宋_GB2312"/>
              </w:rPr>
              <w:t>技术部分-产品配置</w:t>
            </w:r>
          </w:p>
        </w:tc>
        <w:tc>
          <w:tcPr>
            <w:tcW w:type="dxa" w:w="2492"/>
          </w:tcPr>
          <w:p>
            <w:pPr>
              <w:pStyle w:val="null3"/>
            </w:pPr>
            <w:r>
              <w:rPr>
                <w:rFonts w:ascii="仿宋_GB2312" w:hAnsi="仿宋_GB2312" w:cs="仿宋_GB2312" w:eastAsia="仿宋_GB2312"/>
              </w:rPr>
              <w:t>所投产品型号、功能、技术规格等详细信息描述，根据所投产品品牌与产品配置，设备配置先进、选型科学合理，从配置完整性、性能稳定性、兼容性、行业使用广泛性等方面进行评审； 产品配置齐全、选型合理、在行业使用广泛，规格描述详细、技术工艺先进，性能稳定，满足项目需求，得9分；产品配置齐全、选型较合理、在行业使用一般，规格描述较详细，能够实现建设目标，得7分；产品配置齐全、选型基本合理、行业使用较少规格描述不够详细，得5分；产品配置齐全，选型欠合理，得3分；产品配置不齐全或无法实现建设目标，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四、商务响应.docx</w:t>
            </w:r>
          </w:p>
          <w:p>
            <w:pPr>
              <w:pStyle w:val="null3"/>
            </w:pPr>
            <w:r>
              <w:rPr>
                <w:rFonts w:ascii="仿宋_GB2312" w:hAnsi="仿宋_GB2312" w:cs="仿宋_GB2312" w:eastAsia="仿宋_GB2312"/>
              </w:rPr>
              <w:t>五、技术响应.docx</w:t>
            </w:r>
          </w:p>
        </w:tc>
      </w:tr>
      <w:tr>
        <w:tc>
          <w:tcPr>
            <w:tcW w:type="dxa" w:w="831"/>
            <w:vMerge/>
          </w:tcPr>
          <w:p/>
        </w:tc>
        <w:tc>
          <w:tcPr>
            <w:tcW w:type="dxa" w:w="1661"/>
          </w:tcPr>
          <w:p>
            <w:pPr>
              <w:pStyle w:val="null3"/>
            </w:pPr>
            <w:r>
              <w:rPr>
                <w:rFonts w:ascii="仿宋_GB2312" w:hAnsi="仿宋_GB2312" w:cs="仿宋_GB2312" w:eastAsia="仿宋_GB2312"/>
              </w:rPr>
              <w:t>技术部分-产品可靠性</w:t>
            </w:r>
          </w:p>
        </w:tc>
        <w:tc>
          <w:tcPr>
            <w:tcW w:type="dxa" w:w="2492"/>
          </w:tcPr>
          <w:p>
            <w:pPr>
              <w:pStyle w:val="null3"/>
            </w:pPr>
            <w:r>
              <w:rPr>
                <w:rFonts w:ascii="仿宋_GB2312" w:hAnsi="仿宋_GB2312" w:cs="仿宋_GB2312" w:eastAsia="仿宋_GB2312"/>
              </w:rPr>
              <w:t>投标产品货源渠道合法，产品符合国家、行业标准及有关规定，确保产品性能稳定，无产权纠纷，提供货源渠道合法证明（包括但不限于销售协议、代理协议、原厂授权等），投标产品货源渠道合法且证明资料基本齐全得2分，投标产品货源渠道合法但证明资料较少得1分， 其他不得分。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四、商务响应.docx</w:t>
            </w:r>
          </w:p>
          <w:p>
            <w:pPr>
              <w:pStyle w:val="null3"/>
            </w:pPr>
            <w:r>
              <w:rPr>
                <w:rFonts w:ascii="仿宋_GB2312" w:hAnsi="仿宋_GB2312" w:cs="仿宋_GB2312" w:eastAsia="仿宋_GB2312"/>
              </w:rPr>
              <w:t>五、技术响应.docx</w:t>
            </w:r>
          </w:p>
        </w:tc>
      </w:tr>
      <w:tr>
        <w:tc>
          <w:tcPr>
            <w:tcW w:type="dxa" w:w="831"/>
            <w:vMerge/>
          </w:tcPr>
          <w:p/>
        </w:tc>
        <w:tc>
          <w:tcPr>
            <w:tcW w:type="dxa" w:w="1661"/>
          </w:tcPr>
          <w:p>
            <w:pPr>
              <w:pStyle w:val="null3"/>
            </w:pPr>
            <w:r>
              <w:rPr>
                <w:rFonts w:ascii="仿宋_GB2312" w:hAnsi="仿宋_GB2312" w:cs="仿宋_GB2312" w:eastAsia="仿宋_GB2312"/>
              </w:rPr>
              <w:t>技术部分-服务方案</w:t>
            </w:r>
          </w:p>
        </w:tc>
        <w:tc>
          <w:tcPr>
            <w:tcW w:type="dxa" w:w="2492"/>
          </w:tcPr>
          <w:p>
            <w:pPr>
              <w:pStyle w:val="null3"/>
            </w:pPr>
            <w:r>
              <w:rPr>
                <w:rFonts w:ascii="仿宋_GB2312" w:hAnsi="仿宋_GB2312" w:cs="仿宋_GB2312" w:eastAsia="仿宋_GB2312"/>
              </w:rPr>
              <w:t>提供服务方案，内容包含但不限于项目组织实施计划、项目组织机构人员安排、项目实施质量保证措施、项目验收配合措施、设备及备品配件发生故障后的补救措施等。 方案详细、具体，内容齐全，针对性强，可行性强，具有科学性、合理性和严谨性，满足项目需求，得6分； 方案较详细，内容较齐全，较有针对性，较为科学合理，较有可行性，得3分； 方案内容空泛，科学性、合理性一般，可行性一般，得1分。 未提供此项不得分。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四、商务响应.docx</w:t>
            </w:r>
          </w:p>
          <w:p>
            <w:pPr>
              <w:pStyle w:val="null3"/>
            </w:pPr>
            <w:r>
              <w:rPr>
                <w:rFonts w:ascii="仿宋_GB2312" w:hAnsi="仿宋_GB2312" w:cs="仿宋_GB2312" w:eastAsia="仿宋_GB2312"/>
              </w:rPr>
              <w:t>五、技术响应.docx</w:t>
            </w:r>
          </w:p>
        </w:tc>
      </w:tr>
      <w:tr>
        <w:tc>
          <w:tcPr>
            <w:tcW w:type="dxa" w:w="831"/>
            <w:vMerge/>
          </w:tcPr>
          <w:p/>
        </w:tc>
        <w:tc>
          <w:tcPr>
            <w:tcW w:type="dxa" w:w="1661"/>
          </w:tcPr>
          <w:p>
            <w:pPr>
              <w:pStyle w:val="null3"/>
            </w:pPr>
            <w:r>
              <w:rPr>
                <w:rFonts w:ascii="仿宋_GB2312" w:hAnsi="仿宋_GB2312" w:cs="仿宋_GB2312" w:eastAsia="仿宋_GB2312"/>
              </w:rPr>
              <w:t>技术部分-供货、配送、安装、调试方案</w:t>
            </w:r>
          </w:p>
        </w:tc>
        <w:tc>
          <w:tcPr>
            <w:tcW w:type="dxa" w:w="2492"/>
          </w:tcPr>
          <w:p>
            <w:pPr>
              <w:pStyle w:val="null3"/>
            </w:pPr>
            <w:r>
              <w:rPr>
                <w:rFonts w:ascii="仿宋_GB2312" w:hAnsi="仿宋_GB2312" w:cs="仿宋_GB2312" w:eastAsia="仿宋_GB2312"/>
              </w:rPr>
              <w:t>提供针对本项目的供货、配送、安装、调试方案。 方案全面完整，针对性强，合理可行、可操作性强，完全满足项目实际需求，得6分；方案较全面完整，针对性较强，合理可行、可操作性较强，满足项目实际需求得3分；方案内容空泛，合理性一般，可行性一般，得1分；未提供此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四、商务响应.docx</w:t>
            </w:r>
          </w:p>
          <w:p>
            <w:pPr>
              <w:pStyle w:val="null3"/>
            </w:pPr>
            <w:r>
              <w:rPr>
                <w:rFonts w:ascii="仿宋_GB2312" w:hAnsi="仿宋_GB2312" w:cs="仿宋_GB2312" w:eastAsia="仿宋_GB2312"/>
              </w:rPr>
              <w:t>五、技术响应.docx</w:t>
            </w:r>
          </w:p>
        </w:tc>
      </w:tr>
      <w:tr>
        <w:tc>
          <w:tcPr>
            <w:tcW w:type="dxa" w:w="831"/>
            <w:vMerge/>
          </w:tcPr>
          <w:p/>
        </w:tc>
        <w:tc>
          <w:tcPr>
            <w:tcW w:type="dxa" w:w="1661"/>
          </w:tcPr>
          <w:p>
            <w:pPr>
              <w:pStyle w:val="null3"/>
            </w:pPr>
            <w:r>
              <w:rPr>
                <w:rFonts w:ascii="仿宋_GB2312" w:hAnsi="仿宋_GB2312" w:cs="仿宋_GB2312" w:eastAsia="仿宋_GB2312"/>
              </w:rPr>
              <w:t>技术部分-培训方案</w:t>
            </w:r>
          </w:p>
        </w:tc>
        <w:tc>
          <w:tcPr>
            <w:tcW w:type="dxa" w:w="2492"/>
          </w:tcPr>
          <w:p>
            <w:pPr>
              <w:pStyle w:val="null3"/>
            </w:pPr>
            <w:r>
              <w:rPr>
                <w:rFonts w:ascii="仿宋_GB2312" w:hAnsi="仿宋_GB2312" w:cs="仿宋_GB2312" w:eastAsia="仿宋_GB2312"/>
              </w:rPr>
              <w:t>供应商制定完善的培训服务方案，保证使用单位能熟练操作和正常使用。培训服务方案详细可行，得6分；提供培训服务方案，方案内容基本合理，针对性不强，缺乏可操作性，得3分；提供培训服务方案，方案内容不全，不具备可行性，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四、商务响应.docx</w:t>
            </w:r>
          </w:p>
          <w:p>
            <w:pPr>
              <w:pStyle w:val="null3"/>
            </w:pPr>
            <w:r>
              <w:rPr>
                <w:rFonts w:ascii="仿宋_GB2312" w:hAnsi="仿宋_GB2312" w:cs="仿宋_GB2312" w:eastAsia="仿宋_GB2312"/>
              </w:rPr>
              <w:t>五、技术响应.docx</w:t>
            </w:r>
          </w:p>
        </w:tc>
      </w:tr>
      <w:tr>
        <w:tc>
          <w:tcPr>
            <w:tcW w:type="dxa" w:w="831"/>
            <w:vMerge/>
          </w:tcPr>
          <w:p/>
        </w:tc>
        <w:tc>
          <w:tcPr>
            <w:tcW w:type="dxa" w:w="1661"/>
          </w:tcPr>
          <w:p>
            <w:pPr>
              <w:pStyle w:val="null3"/>
            </w:pPr>
            <w:r>
              <w:rPr>
                <w:rFonts w:ascii="仿宋_GB2312" w:hAnsi="仿宋_GB2312" w:cs="仿宋_GB2312" w:eastAsia="仿宋_GB2312"/>
              </w:rPr>
              <w:t>技术部分-应急预案</w:t>
            </w:r>
          </w:p>
        </w:tc>
        <w:tc>
          <w:tcPr>
            <w:tcW w:type="dxa" w:w="2492"/>
          </w:tcPr>
          <w:p>
            <w:pPr>
              <w:pStyle w:val="null3"/>
            </w:pPr>
            <w:r>
              <w:rPr>
                <w:rFonts w:ascii="仿宋_GB2312" w:hAnsi="仿宋_GB2312" w:cs="仿宋_GB2312" w:eastAsia="仿宋_GB2312"/>
              </w:rPr>
              <w:t>提供设备使用期间可能会发生的故障，及故障发生后的响应时间及补救方案。方案中风险故障考虑全面，故障发生后响应时间及时、补救方案合理可行、可操作性强，完全可以保障设备的使用需求，得6分；方案中风险故障考虑较全面，故障发生后响应时间及时、补救方案较为合理可行、可操作性较强，得3分；方案中风险故障考虑不够全面，补救方案欠合理，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四、商务响应.docx</w:t>
            </w:r>
          </w:p>
          <w:p>
            <w:pPr>
              <w:pStyle w:val="null3"/>
            </w:pPr>
            <w:r>
              <w:rPr>
                <w:rFonts w:ascii="仿宋_GB2312" w:hAnsi="仿宋_GB2312" w:cs="仿宋_GB2312" w:eastAsia="仿宋_GB2312"/>
              </w:rPr>
              <w:t>五、技术响应.docx</w:t>
            </w:r>
          </w:p>
        </w:tc>
      </w:tr>
      <w:tr>
        <w:tc>
          <w:tcPr>
            <w:tcW w:type="dxa" w:w="831"/>
            <w:vMerge/>
          </w:tcPr>
          <w:p/>
        </w:tc>
        <w:tc>
          <w:tcPr>
            <w:tcW w:type="dxa" w:w="1661"/>
          </w:tcPr>
          <w:p>
            <w:pPr>
              <w:pStyle w:val="null3"/>
            </w:pPr>
            <w:r>
              <w:rPr>
                <w:rFonts w:ascii="仿宋_GB2312" w:hAnsi="仿宋_GB2312" w:cs="仿宋_GB2312" w:eastAsia="仿宋_GB2312"/>
              </w:rPr>
              <w:t>商务部分-商务响应</w:t>
            </w:r>
          </w:p>
        </w:tc>
        <w:tc>
          <w:tcPr>
            <w:tcW w:type="dxa" w:w="2492"/>
          </w:tcPr>
          <w:p>
            <w:pPr>
              <w:pStyle w:val="null3"/>
            </w:pPr>
            <w:r>
              <w:rPr>
                <w:rFonts w:ascii="仿宋_GB2312" w:hAnsi="仿宋_GB2312" w:cs="仿宋_GB2312" w:eastAsia="仿宋_GB2312"/>
              </w:rPr>
              <w:t>付款方式、交货期、交付地点、质保期、响应完全满足磋商文件要求得2分，有1项不满足扣0.5分，扣完为止。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四、商务响应.docx</w:t>
            </w:r>
          </w:p>
          <w:p>
            <w:pPr>
              <w:pStyle w:val="null3"/>
            </w:pPr>
            <w:r>
              <w:rPr>
                <w:rFonts w:ascii="仿宋_GB2312" w:hAnsi="仿宋_GB2312" w:cs="仿宋_GB2312" w:eastAsia="仿宋_GB2312"/>
              </w:rPr>
              <w:t>五、技术响应.docx</w:t>
            </w:r>
          </w:p>
        </w:tc>
      </w:tr>
      <w:tr>
        <w:tc>
          <w:tcPr>
            <w:tcW w:type="dxa" w:w="831"/>
            <w:vMerge/>
          </w:tcPr>
          <w:p/>
        </w:tc>
        <w:tc>
          <w:tcPr>
            <w:tcW w:type="dxa" w:w="1661"/>
          </w:tcPr>
          <w:p>
            <w:pPr>
              <w:pStyle w:val="null3"/>
            </w:pPr>
            <w:r>
              <w:rPr>
                <w:rFonts w:ascii="仿宋_GB2312" w:hAnsi="仿宋_GB2312" w:cs="仿宋_GB2312" w:eastAsia="仿宋_GB2312"/>
              </w:rPr>
              <w:t>商务部分-售后服务承诺</w:t>
            </w:r>
          </w:p>
        </w:tc>
        <w:tc>
          <w:tcPr>
            <w:tcW w:type="dxa" w:w="2492"/>
          </w:tcPr>
          <w:p>
            <w:pPr>
              <w:pStyle w:val="null3"/>
            </w:pPr>
            <w:r>
              <w:rPr>
                <w:rFonts w:ascii="仿宋_GB2312" w:hAnsi="仿宋_GB2312" w:cs="仿宋_GB2312" w:eastAsia="仿宋_GB2312"/>
              </w:rPr>
              <w:t>售后服务的便利性和售后服务人员配置及服务水平，内容包含但不限于服务措施、服务响应时间、服务人员配置、服务承诺等。 方案详细、具体，内容齐全，服务人员配置齐全，针对性强，可行性强，能够保证服务的及时性、便利性和解决问题的高效性得6分； 方案内容较齐全，较有针对性，较有可行性，服务人员配置一般，基本能满足售后服务的及时性和便利性，得3分； 方案内容较为空泛，难以实施，较难保证服务的及时性和便利性得1分；未提供不得分。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四、商务响应.docx</w:t>
            </w:r>
          </w:p>
          <w:p>
            <w:pPr>
              <w:pStyle w:val="null3"/>
            </w:pPr>
            <w:r>
              <w:rPr>
                <w:rFonts w:ascii="仿宋_GB2312" w:hAnsi="仿宋_GB2312" w:cs="仿宋_GB2312" w:eastAsia="仿宋_GB2312"/>
              </w:rPr>
              <w:t>五、技术响应.docx</w:t>
            </w:r>
          </w:p>
        </w:tc>
      </w:tr>
      <w:tr>
        <w:tc>
          <w:tcPr>
            <w:tcW w:type="dxa" w:w="831"/>
            <w:vMerge/>
          </w:tcPr>
          <w:p/>
        </w:tc>
        <w:tc>
          <w:tcPr>
            <w:tcW w:type="dxa" w:w="1661"/>
          </w:tcPr>
          <w:p>
            <w:pPr>
              <w:pStyle w:val="null3"/>
            </w:pPr>
            <w:r>
              <w:rPr>
                <w:rFonts w:ascii="仿宋_GB2312" w:hAnsi="仿宋_GB2312" w:cs="仿宋_GB2312" w:eastAsia="仿宋_GB2312"/>
              </w:rPr>
              <w:t>商务部分-业绩</w:t>
            </w:r>
          </w:p>
        </w:tc>
        <w:tc>
          <w:tcPr>
            <w:tcW w:type="dxa" w:w="2492"/>
          </w:tcPr>
          <w:p>
            <w:pPr>
              <w:pStyle w:val="null3"/>
            </w:pPr>
            <w:r>
              <w:rPr>
                <w:rFonts w:ascii="仿宋_GB2312" w:hAnsi="仿宋_GB2312" w:cs="仿宋_GB2312" w:eastAsia="仿宋_GB2312"/>
              </w:rPr>
              <w:t>提供供应商自2022年11月1日起至今同类项目业绩，业绩以合同为准。（时间以签订的合同日期为准）,每份计1分,最高得2分。注：合同内容须清晰可辨认，否则视为无效合同</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四、商务响应.docx</w:t>
            </w:r>
          </w:p>
          <w:p>
            <w:pPr>
              <w:pStyle w:val="null3"/>
            </w:pPr>
            <w:r>
              <w:rPr>
                <w:rFonts w:ascii="仿宋_GB2312" w:hAnsi="仿宋_GB2312" w:cs="仿宋_GB2312" w:eastAsia="仿宋_GB2312"/>
              </w:rPr>
              <w:t>五、技术响应.docx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采用低价优先法计算，即满足磋商文件要求且最后报价最低的供应商的价格为磋商基准价，其价格分为满分。磋商报价得分=(磋商基准价/最后磋商报价)x40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详见附件：一、磋商响应第一次报价表及分项报价表.docx</w:t>
      </w:r>
    </w:p>
    <w:p>
      <w:pPr>
        <w:pStyle w:val="null3"/>
        <w:ind w:firstLine="960"/>
      </w:pPr>
      <w:r>
        <w:rPr>
          <w:rFonts w:ascii="仿宋_GB2312" w:hAnsi="仿宋_GB2312" w:cs="仿宋_GB2312" w:eastAsia="仿宋_GB2312"/>
        </w:rPr>
        <w:t>详见附件：二、法定代表人授权委托书.docx</w:t>
      </w:r>
    </w:p>
    <w:p>
      <w:pPr>
        <w:pStyle w:val="null3"/>
        <w:ind w:firstLine="960"/>
      </w:pPr>
      <w:r>
        <w:rPr>
          <w:rFonts w:ascii="仿宋_GB2312" w:hAnsi="仿宋_GB2312" w:cs="仿宋_GB2312" w:eastAsia="仿宋_GB2312"/>
        </w:rPr>
        <w:t>详见附件：三、相关资格证明资料.docx</w:t>
      </w:r>
    </w:p>
    <w:p>
      <w:pPr>
        <w:pStyle w:val="null3"/>
        <w:ind w:firstLine="960"/>
      </w:pPr>
      <w:r>
        <w:rPr>
          <w:rFonts w:ascii="仿宋_GB2312" w:hAnsi="仿宋_GB2312" w:cs="仿宋_GB2312" w:eastAsia="仿宋_GB2312"/>
        </w:rPr>
        <w:t>详见附件：四、商务响应.docx</w:t>
      </w:r>
    </w:p>
    <w:p>
      <w:pPr>
        <w:pStyle w:val="null3"/>
        <w:ind w:firstLine="960"/>
      </w:pPr>
      <w:r>
        <w:rPr>
          <w:rFonts w:ascii="仿宋_GB2312" w:hAnsi="仿宋_GB2312" w:cs="仿宋_GB2312" w:eastAsia="仿宋_GB2312"/>
        </w:rPr>
        <w:t>详见附件：五、技术响应.docx</w:t>
      </w:r>
    </w:p>
    <w:p>
      <w:pPr>
        <w:pStyle w:val="null3"/>
        <w:ind w:firstLine="960"/>
      </w:pPr>
      <w:r>
        <w:rPr>
          <w:rFonts w:ascii="仿宋_GB2312" w:hAnsi="仿宋_GB2312" w:cs="仿宋_GB2312" w:eastAsia="仿宋_GB2312"/>
        </w:rPr>
        <w:t>详见附件：六、承诺书.docx</w:t>
      </w:r>
    </w:p>
    <w:p>
      <w:pPr>
        <w:pStyle w:val="null3"/>
        <w:ind w:firstLine="960"/>
      </w:pPr>
      <w:r>
        <w:rPr>
          <w:rFonts w:ascii="仿宋_GB2312" w:hAnsi="仿宋_GB2312" w:cs="仿宋_GB2312" w:eastAsia="仿宋_GB2312"/>
        </w:rPr>
        <w:t>详见附件：七、落实政府采购政策.docx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