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5BC68">
      <w:pPr>
        <w:tabs>
          <w:tab w:val="left" w:pos="7537"/>
        </w:tabs>
        <w:spacing w:before="69"/>
        <w:ind w:left="241"/>
        <w:rPr>
          <w:rFonts w:hint="eastAsia"/>
          <w:b/>
          <w:sz w:val="28"/>
          <w:lang w:eastAsia="zh-CN"/>
        </w:rPr>
      </w:pPr>
      <w:r>
        <w:rPr>
          <w:b/>
          <w:sz w:val="28"/>
          <w:lang w:eastAsia="zh-CN"/>
        </w:rPr>
        <w:t>政府采购项目</w:t>
      </w:r>
      <w:r>
        <w:rPr>
          <w:b/>
          <w:sz w:val="28"/>
          <w:lang w:eastAsia="zh-CN"/>
        </w:rPr>
        <w:tab/>
      </w:r>
      <w:r>
        <w:rPr>
          <w:b/>
          <w:sz w:val="28"/>
          <w:lang w:eastAsia="zh-CN"/>
        </w:rPr>
        <w:t>公开招标</w:t>
      </w:r>
    </w:p>
    <w:p w14:paraId="6BB1B732">
      <w:pPr>
        <w:pStyle w:val="2"/>
        <w:rPr>
          <w:rFonts w:hint="eastAsia"/>
          <w:b/>
          <w:sz w:val="20"/>
          <w:lang w:eastAsia="zh-CN"/>
        </w:rPr>
      </w:pPr>
    </w:p>
    <w:p w14:paraId="57FD9298">
      <w:pPr>
        <w:pStyle w:val="2"/>
        <w:rPr>
          <w:rFonts w:hint="eastAsia"/>
          <w:b/>
          <w:sz w:val="20"/>
          <w:lang w:eastAsia="zh-CN"/>
        </w:rPr>
      </w:pPr>
    </w:p>
    <w:p w14:paraId="4A969172">
      <w:pPr>
        <w:pStyle w:val="2"/>
        <w:rPr>
          <w:rFonts w:hint="eastAsia"/>
          <w:b/>
          <w:sz w:val="20"/>
          <w:lang w:eastAsia="zh-CN"/>
        </w:rPr>
      </w:pPr>
    </w:p>
    <w:p w14:paraId="4934B9DB">
      <w:pPr>
        <w:pStyle w:val="2"/>
        <w:rPr>
          <w:rFonts w:hint="eastAsia"/>
          <w:b/>
          <w:sz w:val="20"/>
          <w:lang w:eastAsia="zh-CN"/>
        </w:rPr>
      </w:pPr>
    </w:p>
    <w:p w14:paraId="3AA39476">
      <w:pPr>
        <w:pStyle w:val="2"/>
        <w:rPr>
          <w:rFonts w:hint="eastAsia"/>
          <w:b/>
          <w:sz w:val="20"/>
          <w:lang w:eastAsia="zh-CN"/>
        </w:rPr>
      </w:pPr>
    </w:p>
    <w:p w14:paraId="2FAE4F21">
      <w:pPr>
        <w:pStyle w:val="2"/>
        <w:spacing w:before="7"/>
        <w:rPr>
          <w:rFonts w:hint="eastAsia"/>
          <w:b/>
          <w:sz w:val="25"/>
          <w:lang w:eastAsia="zh-CN"/>
        </w:rPr>
      </w:pPr>
    </w:p>
    <w:p w14:paraId="221D68F6">
      <w:pPr>
        <w:spacing w:before="28" w:line="400" w:lineRule="auto"/>
        <w:ind w:left="244" w:right="267"/>
        <w:jc w:val="center"/>
        <w:rPr>
          <w:rFonts w:hint="eastAsia"/>
          <w:b/>
          <w:w w:val="95"/>
          <w:sz w:val="48"/>
          <w:szCs w:val="21"/>
          <w:lang w:eastAsia="zh-CN"/>
        </w:rPr>
      </w:pPr>
      <w:bookmarkStart w:id="0" w:name="_Hlk185426028"/>
      <w:r>
        <w:rPr>
          <w:rFonts w:hint="eastAsia"/>
          <w:b/>
          <w:w w:val="95"/>
          <w:sz w:val="48"/>
          <w:szCs w:val="21"/>
          <w:lang w:eastAsia="zh-CN"/>
        </w:rPr>
        <w:t>西安市2025年市政基础设施项目</w:t>
      </w:r>
    </w:p>
    <w:p w14:paraId="1586A7BF">
      <w:pPr>
        <w:spacing w:before="28" w:line="400" w:lineRule="auto"/>
        <w:ind w:left="244" w:right="267"/>
        <w:jc w:val="center"/>
        <w:rPr>
          <w:rFonts w:hint="eastAsia"/>
          <w:b/>
          <w:sz w:val="52"/>
          <w:lang w:eastAsia="zh-CN"/>
        </w:rPr>
      </w:pPr>
      <w:r>
        <w:rPr>
          <w:rFonts w:hint="eastAsia"/>
          <w:b/>
          <w:w w:val="95"/>
          <w:sz w:val="48"/>
          <w:szCs w:val="21"/>
          <w:lang w:eastAsia="zh-CN"/>
        </w:rPr>
        <w:t>规划设计方案联评联审咨询服务项目</w:t>
      </w:r>
    </w:p>
    <w:bookmarkEnd w:id="0"/>
    <w:p w14:paraId="64FE6300">
      <w:pPr>
        <w:pStyle w:val="2"/>
        <w:rPr>
          <w:rFonts w:hint="eastAsia"/>
          <w:b/>
          <w:sz w:val="52"/>
          <w:lang w:eastAsia="zh-CN"/>
        </w:rPr>
      </w:pPr>
    </w:p>
    <w:p w14:paraId="5AF9B61A">
      <w:pPr>
        <w:pStyle w:val="2"/>
        <w:spacing w:before="4"/>
        <w:rPr>
          <w:rFonts w:hint="eastAsia"/>
          <w:b/>
          <w:sz w:val="38"/>
          <w:lang w:eastAsia="zh-CN"/>
        </w:rPr>
      </w:pPr>
    </w:p>
    <w:p w14:paraId="38892BE3">
      <w:pPr>
        <w:ind w:left="846" w:right="267"/>
        <w:jc w:val="center"/>
        <w:rPr>
          <w:rFonts w:hint="eastAsia"/>
          <w:b/>
          <w:sz w:val="72"/>
          <w:lang w:eastAsia="zh-CN"/>
        </w:rPr>
      </w:pPr>
      <w:r>
        <w:rPr>
          <w:b/>
          <w:sz w:val="72"/>
          <w:lang w:eastAsia="zh-CN"/>
        </w:rPr>
        <w:t>服 务 合 同</w:t>
      </w:r>
    </w:p>
    <w:p w14:paraId="28FA6BDA">
      <w:pPr>
        <w:spacing w:before="158"/>
        <w:ind w:left="244" w:right="264"/>
        <w:jc w:val="center"/>
        <w:rPr>
          <w:rFonts w:hint="eastAsia"/>
          <w:sz w:val="30"/>
          <w:lang w:eastAsia="zh-CN"/>
        </w:rPr>
      </w:pPr>
      <w:r>
        <w:rPr>
          <w:sz w:val="30"/>
          <w:lang w:eastAsia="zh-CN"/>
        </w:rPr>
        <w:t>（采购项目编号：）</w:t>
      </w:r>
    </w:p>
    <w:p w14:paraId="30B5255C">
      <w:pPr>
        <w:pStyle w:val="2"/>
        <w:rPr>
          <w:rFonts w:hint="eastAsia"/>
          <w:sz w:val="30"/>
          <w:lang w:eastAsia="zh-CN"/>
        </w:rPr>
      </w:pPr>
    </w:p>
    <w:p w14:paraId="652AE053">
      <w:pPr>
        <w:pStyle w:val="2"/>
        <w:rPr>
          <w:rFonts w:hint="eastAsia"/>
          <w:sz w:val="30"/>
          <w:lang w:eastAsia="zh-CN"/>
        </w:rPr>
      </w:pPr>
    </w:p>
    <w:p w14:paraId="3BE4B37D">
      <w:pPr>
        <w:pStyle w:val="2"/>
        <w:rPr>
          <w:rFonts w:hint="eastAsia"/>
          <w:sz w:val="30"/>
          <w:lang w:eastAsia="zh-CN"/>
        </w:rPr>
      </w:pPr>
    </w:p>
    <w:p w14:paraId="3F227063">
      <w:pPr>
        <w:pStyle w:val="2"/>
        <w:spacing w:before="5"/>
        <w:rPr>
          <w:rFonts w:hint="eastAsia"/>
          <w:sz w:val="36"/>
          <w:lang w:eastAsia="zh-CN"/>
        </w:rPr>
      </w:pPr>
    </w:p>
    <w:p w14:paraId="17A308C9">
      <w:pPr>
        <w:spacing w:line="561" w:lineRule="auto"/>
        <w:ind w:left="1062" w:right="4121"/>
        <w:rPr>
          <w:rFonts w:hint="eastAsia"/>
          <w:sz w:val="30"/>
          <w:lang w:eastAsia="zh-CN"/>
        </w:rPr>
      </w:pPr>
      <w:r>
        <w:rPr>
          <w:sz w:val="30"/>
          <w:lang w:eastAsia="zh-CN"/>
        </w:rPr>
        <w:t>甲方：西安市自然资源和规划局</w:t>
      </w:r>
    </w:p>
    <w:p w14:paraId="0403ACCC">
      <w:pPr>
        <w:spacing w:line="562" w:lineRule="auto"/>
        <w:ind w:left="1060"/>
        <w:rPr>
          <w:rFonts w:hint="eastAsia"/>
          <w:sz w:val="30"/>
          <w:lang w:eastAsia="zh-CN"/>
        </w:rPr>
      </w:pPr>
      <w:r>
        <w:rPr>
          <w:sz w:val="30"/>
          <w:lang w:eastAsia="zh-CN"/>
        </w:rPr>
        <w:t>乙方:</w:t>
      </w:r>
      <w:r>
        <w:rPr>
          <w:rFonts w:hint="eastAsia"/>
          <w:lang w:eastAsia="zh-CN"/>
        </w:rPr>
        <w:t xml:space="preserve"> </w:t>
      </w:r>
    </w:p>
    <w:p w14:paraId="03B6DDC5">
      <w:pPr>
        <w:pStyle w:val="2"/>
        <w:rPr>
          <w:rFonts w:hint="eastAsia"/>
          <w:sz w:val="30"/>
          <w:szCs w:val="22"/>
          <w:lang w:eastAsia="zh-CN"/>
        </w:rPr>
      </w:pPr>
    </w:p>
    <w:p w14:paraId="38C0ECE4">
      <w:pPr>
        <w:pStyle w:val="2"/>
        <w:rPr>
          <w:rFonts w:hint="eastAsia"/>
          <w:lang w:eastAsia="zh-CN"/>
        </w:rPr>
      </w:pPr>
    </w:p>
    <w:p w14:paraId="1C5D0CCE">
      <w:pPr>
        <w:pStyle w:val="2"/>
        <w:rPr>
          <w:rFonts w:hint="eastAsia"/>
          <w:lang w:eastAsia="zh-CN"/>
        </w:rPr>
      </w:pPr>
    </w:p>
    <w:p w14:paraId="78E2DDBA">
      <w:pPr>
        <w:spacing w:before="248"/>
        <w:ind w:right="264"/>
        <w:jc w:val="both"/>
        <w:rPr>
          <w:sz w:val="30"/>
          <w:lang w:eastAsia="zh-CN"/>
        </w:rPr>
      </w:pPr>
    </w:p>
    <w:p w14:paraId="2F958D23">
      <w:pPr>
        <w:spacing w:before="248"/>
        <w:ind w:right="264"/>
        <w:jc w:val="center"/>
        <w:rPr>
          <w:rFonts w:hint="eastAsia"/>
          <w:sz w:val="30"/>
          <w:lang w:eastAsia="zh-CN"/>
        </w:rPr>
      </w:pPr>
      <w:r>
        <w:rPr>
          <w:sz w:val="30"/>
          <w:lang w:eastAsia="zh-CN"/>
        </w:rPr>
        <w:t>年</w:t>
      </w:r>
      <w:r>
        <w:rPr>
          <w:rFonts w:hint="eastAsia"/>
          <w:sz w:val="30"/>
          <w:lang w:eastAsia="zh-CN"/>
        </w:rPr>
        <w:t xml:space="preserve">  </w:t>
      </w:r>
      <w:r>
        <w:rPr>
          <w:sz w:val="30"/>
          <w:lang w:eastAsia="zh-CN"/>
        </w:rPr>
        <w:t xml:space="preserve"> 月</w:t>
      </w:r>
    </w:p>
    <w:p w14:paraId="395FEBC3">
      <w:pPr>
        <w:tabs>
          <w:tab w:val="left" w:pos="899"/>
        </w:tabs>
        <w:spacing w:before="144"/>
        <w:ind w:right="23"/>
        <w:jc w:val="center"/>
        <w:rPr>
          <w:rFonts w:hint="eastAsia"/>
          <w:sz w:val="30"/>
          <w:lang w:eastAsia="zh-CN"/>
        </w:rPr>
      </w:pPr>
    </w:p>
    <w:p w14:paraId="7D4C2254">
      <w:pPr>
        <w:jc w:val="center"/>
        <w:rPr>
          <w:rFonts w:hint="eastAsia"/>
          <w:sz w:val="30"/>
          <w:lang w:eastAsia="zh-CN"/>
        </w:rPr>
        <w:sectPr>
          <w:headerReference r:id="rId3" w:type="default"/>
          <w:footerReference r:id="rId4" w:type="default"/>
          <w:pgSz w:w="11910" w:h="16840"/>
          <w:pgMar w:top="1360" w:right="1060" w:bottom="1180" w:left="1460" w:header="883" w:footer="982" w:gutter="0"/>
          <w:pgNumType w:start="1"/>
          <w:cols w:space="720" w:num="1"/>
        </w:sectPr>
      </w:pPr>
    </w:p>
    <w:p w14:paraId="0E62B033">
      <w:pPr>
        <w:spacing w:line="600" w:lineRule="exact"/>
        <w:ind w:left="964" w:right="267"/>
        <w:jc w:val="center"/>
        <w:rPr>
          <w:rFonts w:hint="eastAsia" w:ascii="宋体" w:hAnsi="宋体" w:eastAsia="宋体" w:cs="宋体"/>
          <w:b/>
          <w:sz w:val="24"/>
          <w:szCs w:val="24"/>
          <w:lang w:eastAsia="zh-CN"/>
        </w:rPr>
      </w:pPr>
      <w:r>
        <w:rPr>
          <w:rFonts w:hint="eastAsia" w:ascii="宋体" w:hAnsi="宋体" w:eastAsia="宋体" w:cs="宋体"/>
          <w:b/>
          <w:sz w:val="24"/>
          <w:szCs w:val="24"/>
          <w:lang w:eastAsia="zh-CN"/>
        </w:rPr>
        <w:t>服 务 合 同</w:t>
      </w:r>
    </w:p>
    <w:p w14:paraId="5703612C">
      <w:pPr>
        <w:pStyle w:val="2"/>
        <w:spacing w:line="600" w:lineRule="exact"/>
        <w:rPr>
          <w:rFonts w:hint="eastAsia" w:ascii="宋体" w:hAnsi="宋体" w:eastAsia="宋体" w:cs="宋体"/>
          <w:b/>
          <w:sz w:val="24"/>
          <w:szCs w:val="24"/>
          <w:lang w:eastAsia="zh-CN"/>
        </w:rPr>
      </w:pPr>
    </w:p>
    <w:p w14:paraId="71023CB3">
      <w:pPr>
        <w:spacing w:line="600" w:lineRule="exact"/>
        <w:ind w:right="3135"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甲方：西安市自然资源和规划局</w:t>
      </w:r>
    </w:p>
    <w:p w14:paraId="03FF5326">
      <w:pPr>
        <w:spacing w:line="6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乙方：</w:t>
      </w:r>
      <w:bookmarkStart w:id="1" w:name="_Hlk185415050"/>
    </w:p>
    <w:bookmarkEnd w:id="1"/>
    <w:p w14:paraId="1F0B3091">
      <w:pPr>
        <w:pStyle w:val="2"/>
        <w:spacing w:line="600" w:lineRule="exact"/>
        <w:ind w:right="262" w:firstLine="480" w:firstLineChars="200"/>
        <w:jc w:val="both"/>
        <w:rPr>
          <w:rFonts w:hint="eastAsia" w:ascii="宋体" w:hAnsi="宋体" w:eastAsia="宋体" w:cs="宋体"/>
          <w:sz w:val="24"/>
          <w:szCs w:val="24"/>
          <w:lang w:eastAsia="zh-CN"/>
        </w:rPr>
      </w:pPr>
      <w:bookmarkStart w:id="2" w:name="_Hlk185426070"/>
    </w:p>
    <w:p w14:paraId="2D075773">
      <w:pPr>
        <w:pStyle w:val="2"/>
        <w:spacing w:line="600" w:lineRule="exact"/>
        <w:ind w:right="26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西安市2025年市政基础设施项目规划设计方案联评联审咨询服务项目</w:t>
      </w:r>
      <w:bookmarkEnd w:id="2"/>
      <w:r>
        <w:rPr>
          <w:rFonts w:hint="eastAsia" w:ascii="宋体" w:hAnsi="宋体" w:eastAsia="宋体" w:cs="宋体"/>
          <w:sz w:val="24"/>
          <w:szCs w:val="24"/>
          <w:lang w:eastAsia="zh-CN"/>
        </w:rPr>
        <w:t>（项目编号：XX），在西安市财政局的监督管理下，按照政府采购程序组织公开招标，确定乙方为中标供应商。依据《中华人民共和国政府采购法》、《中华人民共和国民法典》以及招标文件、中标通知书，经甲、乙双方协商，达成如下合同条款。</w:t>
      </w:r>
      <w:bookmarkStart w:id="3" w:name="_GoBack"/>
      <w:bookmarkEnd w:id="3"/>
    </w:p>
    <w:p w14:paraId="61D773D5">
      <w:pPr>
        <w:pStyle w:val="2"/>
        <w:spacing w:line="600" w:lineRule="exact"/>
        <w:ind w:right="262" w:firstLine="482" w:firstLineChars="200"/>
        <w:jc w:val="left"/>
        <w:rPr>
          <w:rFonts w:hint="eastAsia" w:ascii="宋体" w:hAnsi="宋体" w:eastAsia="宋体" w:cs="宋体"/>
          <w:sz w:val="24"/>
          <w:szCs w:val="24"/>
          <w:lang w:eastAsia="zh-CN"/>
        </w:rPr>
      </w:pPr>
      <w:r>
        <w:rPr>
          <w:rFonts w:hint="eastAsia" w:ascii="宋体" w:hAnsi="宋体" w:eastAsia="宋体" w:cs="宋体"/>
          <w:b/>
          <w:bCs/>
          <w:sz w:val="24"/>
          <w:szCs w:val="24"/>
          <w:lang w:eastAsia="zh-CN"/>
        </w:rPr>
        <w:t>一、服务内容</w:t>
      </w:r>
    </w:p>
    <w:p w14:paraId="31CF676C">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1、项目名称：西安市2025年市政基础设施项目规划设计方案联评联审咨询服务项目</w:t>
      </w:r>
    </w:p>
    <w:p w14:paraId="1554B70B">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2、项目内容：</w:t>
      </w:r>
    </w:p>
    <w:p w14:paraId="23730A92">
      <w:pPr>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技术审查以印发的《西安市市政基础设施项目规划设计方案审查标准及要点》为依据，主要工作内容包括报审的市政基础设施规划设计方案，主要工作为一是提前参与项目前期规划设计方案研究，在方案研究阶段提出具体规划用地要求，确保方案编制工作顺利开展和提高方案的科学性；二是通过现场踏勘详细了解项目现状情况；三是内业审阅报送的规划设计方案，结合现场踏勘情况和统筹国土空间规划、土地用途等要求，对报送的规划设计方案提出技术审查意见并出具技术审查报告；四是对年度所审查项目的规划设计方案、审查意见进行整理汇总，分册形成年度审查报告和数据汇缴。</w:t>
      </w:r>
    </w:p>
    <w:p w14:paraId="7563CE92">
      <w:pPr>
        <w:spacing w:line="600" w:lineRule="exact"/>
        <w:ind w:firstLine="482" w:firstLineChars="200"/>
        <w:jc w:val="left"/>
        <w:rPr>
          <w:rFonts w:hint="eastAsia" w:ascii="宋体" w:hAnsi="宋体" w:eastAsia="宋体" w:cs="宋体"/>
          <w:sz w:val="24"/>
          <w:szCs w:val="24"/>
          <w:lang w:eastAsia="zh-CN"/>
        </w:rPr>
      </w:pPr>
      <w:r>
        <w:rPr>
          <w:rFonts w:hint="eastAsia" w:ascii="宋体" w:hAnsi="宋体" w:eastAsia="宋体" w:cs="宋体"/>
          <w:b/>
          <w:sz w:val="24"/>
          <w:szCs w:val="24"/>
          <w:lang w:eastAsia="zh-CN"/>
        </w:rPr>
        <w:t>二、服务条件</w:t>
      </w:r>
    </w:p>
    <w:p w14:paraId="02875AD6">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1、服务地点：西安市。</w:t>
      </w:r>
    </w:p>
    <w:p w14:paraId="1D8B9093">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pacing w:val="-17"/>
          <w:sz w:val="24"/>
          <w:szCs w:val="24"/>
          <w:lang w:eastAsia="zh-CN"/>
        </w:rPr>
        <w:t>、服务期限：</w:t>
      </w:r>
      <w:r>
        <w:rPr>
          <w:rFonts w:hint="eastAsia" w:ascii="宋体" w:hAnsi="宋体" w:eastAsia="宋体" w:cs="宋体"/>
          <w:spacing w:val="-17"/>
          <w:sz w:val="24"/>
          <w:szCs w:val="24"/>
          <w:lang w:val="en-US" w:eastAsia="zh-CN"/>
        </w:rPr>
        <w:t>合同签订后2年内</w:t>
      </w:r>
      <w:r>
        <w:rPr>
          <w:rFonts w:hint="eastAsia" w:ascii="宋体" w:hAnsi="宋体" w:eastAsia="宋体" w:cs="宋体"/>
          <w:spacing w:val="-17"/>
          <w:sz w:val="24"/>
          <w:szCs w:val="24"/>
          <w:lang w:eastAsia="zh-CN"/>
        </w:rPr>
        <w:t>。</w:t>
      </w:r>
    </w:p>
    <w:p w14:paraId="2AE334B5">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3、成果文件</w:t>
      </w:r>
    </w:p>
    <w:p w14:paraId="3AB07A0B">
      <w:pPr>
        <w:pStyle w:val="2"/>
        <w:spacing w:line="600" w:lineRule="exact"/>
        <w:ind w:right="14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成果为西安市2025年市政基础设施联评联审规划设计方案的技术审查报告，形成全面合理的研究成果。提交形式包括：纸质版和电子版。</w:t>
      </w:r>
    </w:p>
    <w:p w14:paraId="1F46C8C5">
      <w:pPr>
        <w:pStyle w:val="2"/>
        <w:spacing w:line="600" w:lineRule="exact"/>
        <w:ind w:right="14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纸质成果要求：西安市2025年度市政基础设施联评联审规划设计方案技术审查报告，，加盖公章/技术成果章，报告采用A4幅面装订，双面印刷，一式六份。</w:t>
      </w:r>
    </w:p>
    <w:p w14:paraId="006E0BB6">
      <w:pPr>
        <w:pStyle w:val="2"/>
        <w:spacing w:line="600" w:lineRule="exact"/>
        <w:ind w:right="14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电子成果要求：最终成果提供刻录光盘2张，光盘贴标签：注明项目名称、完成时间、主要工作成果目录。电子成果与上述纸质成果相对应，文本文件采用word或pdf格式。</w:t>
      </w:r>
    </w:p>
    <w:p w14:paraId="0BD33855">
      <w:pPr>
        <w:pStyle w:val="2"/>
        <w:spacing w:line="600" w:lineRule="exact"/>
        <w:ind w:right="262"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三、合同价款</w:t>
      </w:r>
    </w:p>
    <w:p w14:paraId="792D6973">
      <w:pPr>
        <w:pStyle w:val="2"/>
        <w:autoSpaceDE/>
        <w:autoSpaceDN/>
        <w:spacing w:line="600" w:lineRule="exact"/>
        <w:ind w:right="26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（一）合同总价款为人民币（大写）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元；小写（¥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w:t>
      </w:r>
    </w:p>
    <w:p w14:paraId="5E335238">
      <w:pPr>
        <w:pStyle w:val="2"/>
        <w:autoSpaceDE/>
        <w:autoSpaceDN/>
        <w:spacing w:line="600" w:lineRule="exact"/>
        <w:ind w:right="26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（二）本合同为总价合同，包括但不限于人工费、方案编制费、协调费、交通费、差旅费、食宿费、成果文件费、税金、招标代理费、专题研究、收集基础资料等其他一切相关费用。</w:t>
      </w:r>
    </w:p>
    <w:p w14:paraId="3BAE7793">
      <w:pPr>
        <w:pStyle w:val="2"/>
        <w:autoSpaceDE/>
        <w:autoSpaceDN/>
        <w:spacing w:line="600" w:lineRule="exact"/>
        <w:ind w:right="26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（三）合同总价一次性包死，不受市场价格变化因素的影响。</w:t>
      </w:r>
    </w:p>
    <w:p w14:paraId="15CF9635">
      <w:pPr>
        <w:pStyle w:val="2"/>
        <w:spacing w:line="600" w:lineRule="exact"/>
        <w:ind w:left="241" w:right="262" w:firstLine="480"/>
        <w:jc w:val="left"/>
        <w:rPr>
          <w:rFonts w:hint="eastAsia" w:ascii="宋体" w:hAnsi="宋体" w:eastAsia="宋体" w:cs="宋体"/>
          <w:b/>
          <w:sz w:val="24"/>
          <w:szCs w:val="24"/>
          <w:lang w:eastAsia="zh-CN"/>
        </w:rPr>
      </w:pPr>
      <w:r>
        <w:rPr>
          <w:rFonts w:hint="eastAsia" w:ascii="宋体" w:hAnsi="宋体" w:eastAsia="宋体" w:cs="宋体"/>
          <w:b/>
          <w:sz w:val="24"/>
          <w:szCs w:val="24"/>
          <w:lang w:eastAsia="zh-CN"/>
        </w:rPr>
        <w:t>四、款项结算</w:t>
      </w:r>
    </w:p>
    <w:p w14:paraId="3282D02A">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（一）付款方式：</w:t>
      </w:r>
    </w:p>
    <w:p w14:paraId="1F7198AF">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（1）合同签订后支付合同总价款的30%，即人民币（大写）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元，小写¥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w:t>
      </w:r>
    </w:p>
    <w:p w14:paraId="63FB2BA4">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（2）完成西安市2025年度市政基础设施联评联审规划设计方案技术审查，提交盖章版技术审查报告后，支付合同金额的40%，即人民币（大写）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元，小写¥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w:t>
      </w:r>
    </w:p>
    <w:p w14:paraId="78FC5B5B">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（3）完成全部最终成果并通过正式验收后，支付合同金额的30%，即人民币（大写）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元，小写¥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元。</w:t>
      </w:r>
    </w:p>
    <w:p w14:paraId="2AFD6342">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（二）结算方式：银行转账。乙方持中标通知书、服务合同、发票，与甲方结算。</w:t>
      </w:r>
    </w:p>
    <w:p w14:paraId="0A75F6F3">
      <w:pPr>
        <w:pStyle w:val="3"/>
        <w:spacing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五、双方的权利和义务</w:t>
      </w:r>
    </w:p>
    <w:p w14:paraId="45FDB403">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（一）甲方的权利和义务</w:t>
      </w:r>
    </w:p>
    <w:p w14:paraId="5C6CFE8A">
      <w:pPr>
        <w:pStyle w:val="2"/>
        <w:numPr>
          <w:ilvl w:val="0"/>
          <w:numId w:val="1"/>
        </w:numPr>
        <w:spacing w:line="600" w:lineRule="exact"/>
        <w:ind w:right="262" w:firstLine="436" w:firstLineChars="200"/>
        <w:jc w:val="left"/>
        <w:rPr>
          <w:rFonts w:hint="eastAsia" w:ascii="宋体" w:hAnsi="宋体" w:eastAsia="宋体" w:cs="宋体"/>
          <w:sz w:val="24"/>
          <w:szCs w:val="24"/>
          <w:lang w:eastAsia="zh-CN"/>
        </w:rPr>
      </w:pPr>
      <w:r>
        <w:rPr>
          <w:rFonts w:hint="eastAsia" w:ascii="宋体" w:hAnsi="宋体" w:eastAsia="宋体" w:cs="宋体"/>
          <w:spacing w:val="-11"/>
          <w:sz w:val="24"/>
          <w:szCs w:val="24"/>
          <w:lang w:eastAsia="zh-CN"/>
        </w:rPr>
        <w:t>甲方有权对合同规定范围内乙方的服务行为进行监督和检查，拥有监管权。有</w:t>
      </w:r>
      <w:r>
        <w:rPr>
          <w:rFonts w:hint="eastAsia" w:ascii="宋体" w:hAnsi="宋体" w:eastAsia="宋体" w:cs="宋体"/>
          <w:spacing w:val="-1"/>
          <w:sz w:val="24"/>
          <w:szCs w:val="24"/>
          <w:lang w:eastAsia="zh-CN"/>
        </w:rPr>
        <w:t>权定期核对乙方提供服务所配备的人员数量。对甲方认为不合理的部分有权下达整改</w:t>
      </w:r>
      <w:r>
        <w:rPr>
          <w:rFonts w:hint="eastAsia" w:ascii="宋体" w:hAnsi="宋体" w:eastAsia="宋体" w:cs="宋体"/>
          <w:sz w:val="24"/>
          <w:szCs w:val="24"/>
          <w:lang w:eastAsia="zh-CN"/>
        </w:rPr>
        <w:t>通知书，并要求乙方限期整改。</w:t>
      </w:r>
    </w:p>
    <w:p w14:paraId="09AA84C4">
      <w:pPr>
        <w:pStyle w:val="2"/>
        <w:spacing w:line="600" w:lineRule="exact"/>
        <w:ind w:right="26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2、负责检查监督乙方管理工作的实施及制度的执行情况。</w:t>
      </w:r>
    </w:p>
    <w:p w14:paraId="16AAFBF3">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3、根据本合同规定，按时向乙方支付应付服务费用。</w:t>
      </w:r>
    </w:p>
    <w:p w14:paraId="19EE0E70">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4、国家法律、法规所规定由甲方承担的其它责任。</w:t>
      </w:r>
    </w:p>
    <w:p w14:paraId="0079F8F4">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（二）乙方的权利和义务</w:t>
      </w:r>
    </w:p>
    <w:p w14:paraId="0ED3D522">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1、乙方应按协议规定的内容和时限向甲方提交服务成果，并对其完整性、正确性、适用性、经济性、合理性及时限负责。</w:t>
      </w:r>
    </w:p>
    <w:p w14:paraId="7CCD32C5">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2、对本合同约定的委托服务范围内的项目享有管理权及服务义务。</w:t>
      </w:r>
    </w:p>
    <w:p w14:paraId="14716E36">
      <w:pPr>
        <w:pStyle w:val="2"/>
        <w:spacing w:line="600" w:lineRule="exact"/>
        <w:ind w:firstLine="432" w:firstLineChars="200"/>
        <w:jc w:val="left"/>
        <w:rPr>
          <w:rFonts w:hint="eastAsia" w:ascii="宋体" w:hAnsi="宋体" w:eastAsia="宋体" w:cs="宋体"/>
          <w:sz w:val="24"/>
          <w:szCs w:val="24"/>
          <w:lang w:eastAsia="zh-CN"/>
        </w:rPr>
      </w:pPr>
      <w:r>
        <w:rPr>
          <w:rFonts w:hint="eastAsia" w:ascii="宋体" w:hAnsi="宋体" w:eastAsia="宋体" w:cs="宋体"/>
          <w:spacing w:val="-12"/>
          <w:sz w:val="24"/>
          <w:szCs w:val="24"/>
          <w:lang w:eastAsia="zh-CN"/>
        </w:rPr>
        <w:t>3、根据本合同的约定向甲方收取相关服务费用，并有权在本项目管理范围内管理</w:t>
      </w:r>
      <w:r>
        <w:rPr>
          <w:rFonts w:hint="eastAsia" w:ascii="宋体" w:hAnsi="宋体" w:eastAsia="宋体" w:cs="宋体"/>
          <w:sz w:val="24"/>
          <w:szCs w:val="24"/>
          <w:lang w:eastAsia="zh-CN"/>
        </w:rPr>
        <w:t>及合理使用。</w:t>
      </w:r>
    </w:p>
    <w:p w14:paraId="5A5DED14">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4、乙方负责本合同约定服务范围内的必要修改，包括变更及补充。如提交的成果存在不符合本合同约定服务要求应及时修改，直至符合要求为止。</w:t>
      </w:r>
    </w:p>
    <w:p w14:paraId="6F04E110">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5、及时向甲方通告本项目服务范围内有关服务的重大事项，及时配合处理投诉。</w:t>
      </w:r>
    </w:p>
    <w:p w14:paraId="7941D8BC">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6</w:t>
      </w:r>
      <w:r>
        <w:rPr>
          <w:rFonts w:hint="eastAsia" w:ascii="宋体" w:hAnsi="宋体" w:eastAsia="宋体" w:cs="宋体"/>
          <w:spacing w:val="-16"/>
          <w:sz w:val="24"/>
          <w:szCs w:val="24"/>
          <w:lang w:eastAsia="zh-CN"/>
        </w:rPr>
        <w:t>、在服务过程中接受项目行业管理部门及政府有关部门的指导，接受甲方的监督。</w:t>
      </w:r>
    </w:p>
    <w:p w14:paraId="5E881A98">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7、乙方应按国家技术规范、标准、规程和甲方的需求展开工作，保障技术人员有效工日。</w:t>
      </w:r>
    </w:p>
    <w:p w14:paraId="4769ED87">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8、乙方在进行服务过程中，需遵守甲方的规章制度，接受甲方的安排与协调。</w:t>
      </w:r>
    </w:p>
    <w:p w14:paraId="0E16DE04">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9、如因乙方原因导致服务工作无法开展，乙方应承担相应的责任，并采取积极的补救措施。</w:t>
      </w:r>
    </w:p>
    <w:p w14:paraId="4D749A52">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10、乙方就甲方委托之服务内容必须承担保密责任，对项目信息、服务方案、造价成本预算等成果承担不得外泄之责任。</w:t>
      </w:r>
    </w:p>
    <w:p w14:paraId="526177F0">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11、在服务工作开展过程中，如因乙方原因出现意外事故，由乙方自行承担。</w:t>
      </w:r>
    </w:p>
    <w:p w14:paraId="58FCC6DB">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12、国家法律、法规所规定由乙方承担的其它责任。</w:t>
      </w:r>
    </w:p>
    <w:p w14:paraId="59B22817">
      <w:pPr>
        <w:pStyle w:val="2"/>
        <w:spacing w:line="600" w:lineRule="exact"/>
        <w:ind w:left="721" w:right="1822"/>
        <w:jc w:val="left"/>
        <w:rPr>
          <w:rFonts w:hint="eastAsia" w:ascii="宋体" w:hAnsi="宋体" w:eastAsia="宋体" w:cs="宋体"/>
          <w:b/>
          <w:sz w:val="24"/>
          <w:szCs w:val="24"/>
          <w:lang w:eastAsia="zh-CN"/>
        </w:rPr>
      </w:pPr>
      <w:r>
        <w:rPr>
          <w:rFonts w:hint="eastAsia" w:ascii="宋体" w:hAnsi="宋体" w:eastAsia="宋体" w:cs="宋体"/>
          <w:b/>
          <w:sz w:val="24"/>
          <w:szCs w:val="24"/>
          <w:lang w:eastAsia="zh-CN"/>
        </w:rPr>
        <w:t>六、质量保证</w:t>
      </w:r>
    </w:p>
    <w:p w14:paraId="6A38EA1B">
      <w:pPr>
        <w:pStyle w:val="2"/>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乙方所供服务必须执行下列条款：</w:t>
      </w:r>
    </w:p>
    <w:p w14:paraId="4F170548">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（一）服务方案和方式科学、可行，人员配置合理，全面满足要求。</w:t>
      </w:r>
    </w:p>
    <w:p w14:paraId="7B1C627A">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（二）符合国家有关服务规范要求，确保各项服务达到最佳运行效果。</w:t>
      </w:r>
    </w:p>
    <w:p w14:paraId="13785F3A">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（三）乙方提供的服务，若发生侵权而产生的一切后果，由乙方负责。甲方保留索赔权。</w:t>
      </w:r>
    </w:p>
    <w:p w14:paraId="69AFFC79">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（四）服务承诺内容：以投标文件为准。</w:t>
      </w:r>
    </w:p>
    <w:p w14:paraId="6D965A44">
      <w:pPr>
        <w:pStyle w:val="2"/>
        <w:spacing w:line="600" w:lineRule="exact"/>
        <w:ind w:left="721" w:right="4342"/>
        <w:jc w:val="left"/>
        <w:rPr>
          <w:rFonts w:hint="eastAsia" w:ascii="宋体" w:hAnsi="宋体" w:eastAsia="宋体" w:cs="宋体"/>
          <w:b/>
          <w:sz w:val="24"/>
          <w:szCs w:val="24"/>
          <w:lang w:eastAsia="zh-CN"/>
        </w:rPr>
      </w:pPr>
      <w:r>
        <w:rPr>
          <w:rFonts w:hint="eastAsia" w:ascii="宋体" w:hAnsi="宋体" w:eastAsia="宋体" w:cs="宋体"/>
          <w:b/>
          <w:sz w:val="24"/>
          <w:szCs w:val="24"/>
          <w:lang w:eastAsia="zh-CN"/>
        </w:rPr>
        <w:t>七、验收</w:t>
      </w:r>
    </w:p>
    <w:p w14:paraId="71C1AE31">
      <w:pPr>
        <w:pStyle w:val="2"/>
        <w:spacing w:line="600" w:lineRule="exact"/>
        <w:ind w:left="241" w:right="141"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（一）验收标准或规范</w:t>
      </w:r>
    </w:p>
    <w:p w14:paraId="24328389">
      <w:pPr>
        <w:pStyle w:val="2"/>
        <w:spacing w:line="600" w:lineRule="exact"/>
        <w:ind w:right="141"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1、国家相关行业标准和规范；陕西省、西安市相关技术规定；自然资源部、陕西省政府、陕西省自然资源厅、西安市政府、西安市自然资源和规划局的相关要求。</w:t>
      </w:r>
    </w:p>
    <w:p w14:paraId="6387D6A5">
      <w:pPr>
        <w:pStyle w:val="2"/>
        <w:spacing w:line="600" w:lineRule="exact"/>
        <w:ind w:left="241" w:right="141"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2、成果为技术审查报告。成果质量符合国省市相关技术标准、技术规范、政策文件要求，并通过专家论证或评审会，成果质量合格。</w:t>
      </w:r>
    </w:p>
    <w:p w14:paraId="46AC790A">
      <w:pPr>
        <w:pStyle w:val="2"/>
        <w:spacing w:line="600" w:lineRule="exact"/>
        <w:ind w:left="241" w:right="141"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验收程序：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w:t>
      </w:r>
      <w:r>
        <w:rPr>
          <w:rFonts w:hint="eastAsia" w:ascii="宋体" w:hAnsi="宋体" w:eastAsia="宋体" w:cs="宋体"/>
          <w:spacing w:val="-6"/>
          <w:sz w:val="24"/>
          <w:szCs w:val="24"/>
          <w:lang w:eastAsia="zh-CN"/>
        </w:rPr>
        <w:t>的相关费用由乙方承担，需要国家法定检验部门进行检验或验收的由乙方负责联系</w:t>
      </w:r>
      <w:r>
        <w:rPr>
          <w:rFonts w:hint="eastAsia" w:ascii="宋体" w:hAnsi="宋体" w:eastAsia="宋体" w:cs="宋体"/>
          <w:spacing w:val="-58"/>
          <w:sz w:val="24"/>
          <w:szCs w:val="24"/>
          <w:lang w:eastAsia="zh-CN"/>
        </w:rPr>
        <w:t>）</w:t>
      </w:r>
      <w:r>
        <w:rPr>
          <w:rFonts w:hint="eastAsia" w:ascii="宋体" w:hAnsi="宋体" w:eastAsia="宋体" w:cs="宋体"/>
          <w:spacing w:val="-18"/>
          <w:sz w:val="24"/>
          <w:szCs w:val="24"/>
          <w:lang w:eastAsia="zh-CN"/>
        </w:rPr>
        <w:t>。</w:t>
      </w:r>
      <w:r>
        <w:rPr>
          <w:rFonts w:hint="eastAsia" w:ascii="宋体" w:hAnsi="宋体" w:eastAsia="宋体" w:cs="宋体"/>
          <w:sz w:val="24"/>
          <w:szCs w:val="24"/>
          <w:lang w:eastAsia="zh-CN"/>
        </w:rPr>
        <w:t>验收合格后，填写政府采购项目履约验收单（一式伍份）作为对服务的最终认可。</w:t>
      </w:r>
    </w:p>
    <w:p w14:paraId="09858F28">
      <w:pPr>
        <w:pStyle w:val="2"/>
        <w:spacing w:line="600" w:lineRule="exact"/>
        <w:ind w:left="241" w:right="141"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（三）在甲方支付本合同足额价款后，乙方向甲方提交服务实施过程中的所有资料，以便甲方日后管理和维护。</w:t>
      </w:r>
    </w:p>
    <w:p w14:paraId="2845D7E0">
      <w:pPr>
        <w:pStyle w:val="2"/>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（四）验收依据：</w:t>
      </w:r>
    </w:p>
    <w:p w14:paraId="7DFE5B3A">
      <w:pPr>
        <w:pStyle w:val="2"/>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1、招标文件、投标文件、澄清表（函）；</w:t>
      </w:r>
    </w:p>
    <w:p w14:paraId="04445E5A">
      <w:pPr>
        <w:pStyle w:val="2"/>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2、本合同及附件文本；</w:t>
      </w:r>
    </w:p>
    <w:p w14:paraId="45F9B1B9">
      <w:pPr>
        <w:pStyle w:val="2"/>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3、国家相应的标准、规范。</w:t>
      </w:r>
    </w:p>
    <w:p w14:paraId="7390F023">
      <w:pPr>
        <w:pStyle w:val="2"/>
        <w:numPr>
          <w:ilvl w:val="0"/>
          <w:numId w:val="2"/>
        </w:numPr>
        <w:tabs>
          <w:tab w:val="left" w:pos="4980"/>
        </w:tabs>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双方拟定的其他条款：</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eastAsia="zh-CN"/>
        </w:rPr>
        <w:tab/>
      </w:r>
    </w:p>
    <w:p w14:paraId="4F5A8F4D">
      <w:pPr>
        <w:pStyle w:val="2"/>
        <w:numPr>
          <w:ilvl w:val="0"/>
          <w:numId w:val="3"/>
        </w:numPr>
        <w:tabs>
          <w:tab w:val="left" w:pos="4980"/>
        </w:tabs>
        <w:spacing w:line="600" w:lineRule="exact"/>
        <w:ind w:left="721"/>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知识产权</w:t>
      </w:r>
    </w:p>
    <w:p w14:paraId="2561C29E">
      <w:pPr>
        <w:pStyle w:val="2"/>
        <w:numPr>
          <w:ilvl w:val="255"/>
          <w:numId w:val="0"/>
        </w:numPr>
        <w:tabs>
          <w:tab w:val="left" w:pos="4980"/>
        </w:tabs>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协议中所述之知识产权是指由乙方为本项目编制的技术成果及相关资料，包括方案、图纸等文件（含电子版）的知识产权，本协议中所有技术成果的知识产权归甲方所有。乙方除享有该成果的署名权外，经甲方许可后，可将本合同的设计成果用于撰写论文或报告、展示宣传和业内研讨用途。</w:t>
      </w:r>
    </w:p>
    <w:p w14:paraId="649F589A">
      <w:pPr>
        <w:pStyle w:val="3"/>
        <w:spacing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九、违约责任</w:t>
      </w:r>
    </w:p>
    <w:p w14:paraId="6D3D9F51">
      <w:pPr>
        <w:pStyle w:val="2"/>
        <w:numPr>
          <w:ilvl w:val="0"/>
          <w:numId w:val="4"/>
        </w:numPr>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在合同生效后，甲方要求终止或解除合同，乙方未开始工作的，应退还甲方已付的合同费用；已开始工作的，根据乙方已进行的该阶段工作量据实进行结算支付。</w:t>
      </w:r>
    </w:p>
    <w:p w14:paraId="1CABC9B8">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合同生效后，非因甲方原因且无任何其他合理理由乙方要求终止或解除合同的，乙方应双倍返还已经支付的费用。因此给甲方造成的损失（包括但不限于直接损失、间接损失、律师费、诉讼费、保全费等），乙方还应及时、完整的赔偿。</w:t>
      </w:r>
    </w:p>
    <w:p w14:paraId="26089488">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三）甲方应按本合同第七条规定的金额和时间向乙方支付服务费用，无正当理由，超过规定支付时间30个工作日后，每逾期支付一天，应向乙方偿付当期应支付费用的0.5‰作为逾期违约金，最高不得超过当期应支付费用的5%。</w:t>
      </w:r>
    </w:p>
    <w:p w14:paraId="0CCDA342">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四）因乙方责任造成工作重大返工或重做的，乙方应无条件无偿予以返工或重做，同时不得延误工期，否则每延误一日，应支付合同延误部分对应费用的万分之五作为违约金，前述违约金总额不超过本合同总费用的20%。</w:t>
      </w:r>
    </w:p>
    <w:p w14:paraId="71C9AD58">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五）乙方未按照合同约定交付相应阶段总成果的，应当免收相应阶段的报酬，并支付违约金，因此给甲方造成损失的，乙方还应当及时、足额地赔偿甲方的全部损失（包括但不限于直接损失、可预期利益、律师费、诉讼费等）。</w:t>
      </w:r>
    </w:p>
    <w:p w14:paraId="2256B62B">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六）因乙方原因未在约定的服务期限内完成全部技术成果内容并通过甲方验收，每延期一日，甲方有权扣减本合同约定的合同总价款0.5‰作为违约金。延期超过15日，甲方有权单方解除协议，不再支付合同款项，乙方应当按照本合同价款总额的20%支付违约金给甲方。因此给甲方造成损失的，乙方还应当及时、足额地赔偿甲方的全部损失（包括但不限于直接损失、可预期利益、律师费、诉讼费等）。</w:t>
      </w:r>
    </w:p>
    <w:p w14:paraId="1BDD284D">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（七）合同生效后，因政策变化，合同无法继续履行的，甲乙双方共同协商终止或解除合同，双方互不承担赔偿责任。</w:t>
      </w:r>
    </w:p>
    <w:p w14:paraId="70125F60">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（八）如果本合同因非乙方过错或项目自身原因中止超过12个月，甲方应根据乙方已进行的该阶段工作进行据实结算支付，甲乙双方应对是否终止本合同进行协商，</w:t>
      </w:r>
      <w:r>
        <w:rPr>
          <w:rFonts w:hint="eastAsia" w:ascii="宋体" w:hAnsi="宋体" w:eastAsia="宋体" w:cs="宋体"/>
          <w:sz w:val="24"/>
          <w:szCs w:val="24"/>
          <w:lang w:val="en" w:eastAsia="zh-CN"/>
        </w:rPr>
        <w:t>协商不一致时，本协议继续履行。</w:t>
      </w:r>
    </w:p>
    <w:p w14:paraId="74F6E928">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九）乙方保证其向甲方提交的成果（包括阶段性和最终性成果）及乙方为实现该成果所使用的必要方法不侵犯第三方的合法权益。甲方因使用乙方提交的成果被第三方指控侵权、提出异议或权利主张的，乙方应当积极协助解决并向第三方承担侵权责任。</w:t>
      </w:r>
    </w:p>
    <w:p w14:paraId="5C493F49">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因乙方责任造成工作重大返工或重作的，乙方应当在甲方确定的期限内采取补救措施且不免除逾期责任，直到达到质量要求，且不得另行收费。因此给甲方造成的损失（包括但不限于直接损失、间接损失、律师费、诉讼费、保全费等），乙方还应及时、完整的赔偿。</w:t>
      </w:r>
    </w:p>
    <w:p w14:paraId="0AB0BC02">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（十一）未经甲方同意，乙方不得擅自将本合同服务分包或转包第三方承担。</w:t>
      </w:r>
    </w:p>
    <w:p w14:paraId="5C2CF869">
      <w:pPr>
        <w:pStyle w:val="2"/>
        <w:spacing w:line="600" w:lineRule="exact"/>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（十二）合同中未约定的，按《民法典》及其他法律法规中的相关条款执行。</w:t>
      </w:r>
    </w:p>
    <w:p w14:paraId="79F2B83D">
      <w:pPr>
        <w:pStyle w:val="3"/>
        <w:spacing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十、保密条款</w:t>
      </w:r>
    </w:p>
    <w:p w14:paraId="49BCEA78">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0081A9E">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5123B6B">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（三）本条款为独立条款，本合同的无效、变更、解除和终止均不影响本条款的效力。</w:t>
      </w:r>
    </w:p>
    <w:p w14:paraId="77CB7F43">
      <w:pPr>
        <w:pStyle w:val="2"/>
        <w:spacing w:line="600" w:lineRule="exact"/>
        <w:ind w:left="721"/>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（四）双方拟定的其他条款。</w:t>
      </w:r>
    </w:p>
    <w:p w14:paraId="4BC45B69">
      <w:pPr>
        <w:pStyle w:val="3"/>
        <w:spacing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十一、争议解决</w:t>
      </w:r>
    </w:p>
    <w:p w14:paraId="19EFD7D5">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w:t>
      </w:r>
      <w:r>
        <w:rPr>
          <w:rFonts w:hint="eastAsia" w:ascii="宋体" w:hAnsi="宋体" w:eastAsia="宋体" w:cs="宋体"/>
          <w:spacing w:val="-1"/>
          <w:sz w:val="24"/>
          <w:szCs w:val="24"/>
          <w:lang w:eastAsia="zh-CN"/>
        </w:rPr>
        <w:t>本合同在履行过程中发生的争议，由甲、乙双方当事人协商解决，协商不</w:t>
      </w:r>
      <w:r>
        <w:rPr>
          <w:rFonts w:hint="eastAsia" w:ascii="宋体" w:hAnsi="宋体" w:eastAsia="宋体" w:cs="宋体"/>
          <w:sz w:val="24"/>
          <w:szCs w:val="24"/>
          <w:lang w:eastAsia="zh-CN"/>
        </w:rPr>
        <w:t>成的按下列第 2 种方式解决：</w:t>
      </w:r>
    </w:p>
    <w:p w14:paraId="4D3A171B">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1、提交</w:t>
      </w:r>
      <w:r>
        <w:rPr>
          <w:rFonts w:hint="eastAsia" w:ascii="宋体" w:hAnsi="宋体" w:eastAsia="宋体" w:cs="宋体"/>
          <w:sz w:val="24"/>
          <w:szCs w:val="24"/>
          <w:u w:val="single"/>
          <w:lang w:eastAsia="zh-CN"/>
        </w:rPr>
        <w:t>西安仲裁</w:t>
      </w:r>
      <w:r>
        <w:rPr>
          <w:rFonts w:hint="eastAsia" w:ascii="宋体" w:hAnsi="宋体" w:eastAsia="宋体" w:cs="宋体"/>
          <w:sz w:val="24"/>
          <w:szCs w:val="24"/>
          <w:lang w:eastAsia="zh-CN"/>
        </w:rPr>
        <w:t>委员会仲裁；</w:t>
      </w:r>
    </w:p>
    <w:p w14:paraId="6E95D390">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2、依法向甲方所在地人民法院起诉。</w:t>
      </w:r>
    </w:p>
    <w:p w14:paraId="4C9ED307">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（二）本条款为独立条款，本合同的无效、变更、解除和终止均不影响本条款的效力。</w:t>
      </w:r>
    </w:p>
    <w:p w14:paraId="228D0284">
      <w:pPr>
        <w:pStyle w:val="3"/>
        <w:spacing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十二、合同变更</w:t>
      </w:r>
    </w:p>
    <w:p w14:paraId="48DB4778">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475149C7">
      <w:pPr>
        <w:pStyle w:val="3"/>
        <w:spacing w:before="3"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十三、合同生效</w:t>
      </w:r>
    </w:p>
    <w:p w14:paraId="2D926560">
      <w:pPr>
        <w:pStyle w:val="2"/>
        <w:tabs>
          <w:tab w:val="left" w:pos="2281"/>
          <w:tab w:val="left" w:pos="3721"/>
          <w:tab w:val="left" w:pos="5281"/>
        </w:tabs>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本合同一式</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份,甲方持</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份，乙方</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份，本合同甲、乙各方签字并盖章</w:t>
      </w:r>
      <w:r>
        <w:rPr>
          <w:rFonts w:hint="eastAsia" w:ascii="宋体" w:hAnsi="宋体" w:eastAsia="宋体" w:cs="宋体"/>
          <w:spacing w:val="-17"/>
          <w:sz w:val="24"/>
          <w:szCs w:val="24"/>
          <w:lang w:eastAsia="zh-CN"/>
        </w:rPr>
        <w:t>后</w:t>
      </w:r>
      <w:r>
        <w:rPr>
          <w:rFonts w:hint="eastAsia" w:ascii="宋体" w:hAnsi="宋体" w:eastAsia="宋体" w:cs="宋体"/>
          <w:sz w:val="24"/>
          <w:szCs w:val="24"/>
          <w:lang w:eastAsia="zh-CN"/>
        </w:rPr>
        <w:t>生效，合同执行完毕后，自动失效（合同的服务承诺则长期有效）。</w:t>
      </w:r>
    </w:p>
    <w:p w14:paraId="4E423CCD">
      <w:pPr>
        <w:pStyle w:val="3"/>
        <w:spacing w:line="600" w:lineRule="exact"/>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十四、其他事项</w:t>
      </w:r>
    </w:p>
    <w:p w14:paraId="49A52E3D">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（一）西安市财政局在合同的履行期间以及履行期后，可以随时检查项目的执行情况，对采购标准、釆购内容进行调查核实，并对发现的问题进行处理。</w:t>
      </w:r>
    </w:p>
    <w:p w14:paraId="3D56A598">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（二）招标文件、投标文件、澄清表（函）、成交通知书、合同附件均为合同不可分割的部分。</w:t>
      </w:r>
    </w:p>
    <w:p w14:paraId="7ADFDAD9">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（三）</w:t>
      </w:r>
      <w:r>
        <w:rPr>
          <w:rFonts w:hint="eastAsia" w:ascii="宋体" w:hAnsi="宋体" w:eastAsia="宋体" w:cs="宋体"/>
          <w:spacing w:val="-1"/>
          <w:sz w:val="24"/>
          <w:szCs w:val="24"/>
          <w:lang w:eastAsia="zh-CN"/>
        </w:rPr>
        <w:t>甲乙双方因不可抗力导致本合同全部或部分不能履行时，发生不可抗力的</w:t>
      </w:r>
      <w:r>
        <w:rPr>
          <w:rFonts w:hint="eastAsia" w:ascii="宋体" w:hAnsi="宋体" w:eastAsia="宋体" w:cs="宋体"/>
          <w:sz w:val="24"/>
          <w:szCs w:val="24"/>
          <w:lang w:eastAsia="zh-CN"/>
        </w:rPr>
        <w:t>一方应当在不可抗力发生后</w:t>
      </w:r>
      <w:r>
        <w:rPr>
          <w:rFonts w:hint="eastAsia" w:ascii="宋体" w:hAnsi="宋体" w:eastAsia="宋体" w:cs="宋体"/>
          <w:spacing w:val="59"/>
          <w:sz w:val="24"/>
          <w:szCs w:val="24"/>
          <w:u w:val="single"/>
          <w:lang w:eastAsia="zh-CN"/>
        </w:rPr>
        <w:t xml:space="preserve"> 20 </w:t>
      </w:r>
      <w:r>
        <w:rPr>
          <w:rFonts w:hint="eastAsia" w:ascii="宋体" w:hAnsi="宋体" w:eastAsia="宋体" w:cs="宋体"/>
          <w:spacing w:val="-1"/>
          <w:sz w:val="24"/>
          <w:szCs w:val="24"/>
          <w:lang w:eastAsia="zh-CN"/>
        </w:rPr>
        <w:t>天内书面通知对方，以减轻可能给对方造成的损失。因不可抗力导致本合同全部或部分不能履行时，双方各自承担其因此而造成的损失、</w:t>
      </w:r>
      <w:r>
        <w:rPr>
          <w:rFonts w:hint="eastAsia" w:ascii="宋体" w:hAnsi="宋体" w:eastAsia="宋体" w:cs="宋体"/>
          <w:sz w:val="24"/>
          <w:szCs w:val="24"/>
          <w:lang w:eastAsia="zh-CN"/>
        </w:rPr>
        <w:t>损害。</w:t>
      </w:r>
    </w:p>
    <w:p w14:paraId="0661EE54">
      <w:pPr>
        <w:pStyle w:val="2"/>
        <w:spacing w:line="600" w:lineRule="exact"/>
        <w:ind w:left="241" w:right="262" w:firstLine="48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（四）合同未尽事宜，由甲、乙双方协商确认后签订政府采购补充合同，与原合同具有同等法律效力。</w:t>
      </w:r>
    </w:p>
    <w:p w14:paraId="2176A1B0">
      <w:pPr>
        <w:pStyle w:val="2"/>
        <w:spacing w:line="600" w:lineRule="exact"/>
        <w:ind w:right="261"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(本页以下无正文)</w:t>
      </w:r>
      <w:r>
        <w:rPr>
          <w:rFonts w:hint="eastAsia" w:ascii="宋体" w:hAnsi="宋体" w:eastAsia="宋体" w:cs="宋体"/>
          <w:b/>
          <w:bCs/>
          <w:sz w:val="24"/>
          <w:szCs w:val="24"/>
          <w:lang w:eastAsia="zh-CN"/>
        </w:rPr>
        <w:br w:type="page"/>
      </w:r>
    </w:p>
    <w:p w14:paraId="232C0032">
      <w:pPr>
        <w:spacing w:line="600" w:lineRule="exact"/>
        <w:ind w:left="721" w:right="3135"/>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（本页为签章页，无正文）</w:t>
      </w:r>
    </w:p>
    <w:p w14:paraId="11621863">
      <w:pPr>
        <w:spacing w:line="480" w:lineRule="auto"/>
        <w:ind w:firstLine="482" w:firstLineChars="200"/>
        <w:rPr>
          <w:rFonts w:hint="eastAsia" w:ascii="宋体" w:hAnsi="宋体" w:eastAsia="宋体" w:cs="宋体"/>
          <w:sz w:val="24"/>
          <w:szCs w:val="24"/>
          <w:lang w:eastAsia="zh-CN"/>
        </w:rPr>
      </w:pPr>
      <w:r>
        <w:rPr>
          <w:rFonts w:hint="eastAsia" w:ascii="宋体" w:hAnsi="宋体" w:eastAsia="宋体" w:cs="宋体"/>
          <w:b/>
          <w:bCs/>
          <w:sz w:val="24"/>
          <w:szCs w:val="24"/>
          <w:lang w:eastAsia="zh-CN"/>
        </w:rPr>
        <w:t>甲方</w:t>
      </w:r>
      <w:r>
        <w:rPr>
          <w:rFonts w:hint="eastAsia" w:ascii="宋体" w:hAnsi="宋体" w:eastAsia="宋体" w:cs="宋体"/>
          <w:sz w:val="24"/>
          <w:szCs w:val="24"/>
          <w:lang w:eastAsia="zh-CN"/>
        </w:rPr>
        <w:t>：</w:t>
      </w:r>
    </w:p>
    <w:p w14:paraId="59EF57C3">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甲方（盖章）：西安市自然资源和规划局</w:t>
      </w:r>
    </w:p>
    <w:p w14:paraId="3B1C17B8">
      <w:pPr>
        <w:spacing w:line="480" w:lineRule="auto"/>
        <w:ind w:firstLine="500" w:firstLineChars="200"/>
        <w:rPr>
          <w:rFonts w:hint="eastAsia" w:ascii="宋体" w:hAnsi="宋体" w:eastAsia="宋体" w:cs="宋体"/>
          <w:sz w:val="24"/>
          <w:szCs w:val="24"/>
          <w:lang w:eastAsia="zh-CN"/>
        </w:rPr>
      </w:pPr>
      <w:r>
        <w:rPr>
          <w:rFonts w:hint="eastAsia" w:ascii="宋体" w:hAnsi="宋体" w:eastAsia="宋体" w:cs="宋体"/>
          <w:spacing w:val="5"/>
          <w:sz w:val="24"/>
          <w:szCs w:val="24"/>
          <w:lang w:eastAsia="zh-CN"/>
        </w:rPr>
        <w:t>法定代表人或授权代表：</w:t>
      </w:r>
      <w:r>
        <w:rPr>
          <w:rFonts w:hint="eastAsia" w:ascii="宋体" w:hAnsi="宋体" w:eastAsia="宋体" w:cs="宋体"/>
          <w:spacing w:val="-85"/>
          <w:sz w:val="24"/>
          <w:szCs w:val="24"/>
          <w:lang w:eastAsia="zh-CN"/>
        </w:rPr>
        <w:t xml:space="preserve"> </w:t>
      </w:r>
      <w:r>
        <w:rPr>
          <w:rFonts w:hint="eastAsia" w:ascii="宋体" w:hAnsi="宋体" w:eastAsia="宋体" w:cs="宋体"/>
          <w:spacing w:val="3"/>
          <w:sz w:val="24"/>
          <w:szCs w:val="24"/>
          <w:u w:val="single"/>
          <w:lang w:eastAsia="zh-CN"/>
        </w:rPr>
        <w:t xml:space="preserve">                      </w:t>
      </w:r>
      <w:r>
        <w:rPr>
          <w:rFonts w:hint="eastAsia" w:ascii="宋体" w:hAnsi="宋体" w:eastAsia="宋体" w:cs="宋体"/>
          <w:spacing w:val="-57"/>
          <w:sz w:val="24"/>
          <w:szCs w:val="24"/>
          <w:lang w:eastAsia="zh-CN"/>
        </w:rPr>
        <w:t xml:space="preserve"> </w:t>
      </w:r>
      <w:r>
        <w:rPr>
          <w:rFonts w:hint="eastAsia" w:ascii="宋体" w:hAnsi="宋体" w:eastAsia="宋体" w:cs="宋体"/>
          <w:spacing w:val="5"/>
          <w:sz w:val="24"/>
          <w:szCs w:val="24"/>
          <w:lang w:eastAsia="zh-CN"/>
        </w:rPr>
        <w:t>(签字或盖章)</w:t>
      </w:r>
    </w:p>
    <w:p w14:paraId="61BFDAAA">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签订日期：    年    月   日</w:t>
      </w:r>
    </w:p>
    <w:p w14:paraId="413930C5">
      <w:pPr>
        <w:spacing w:line="480" w:lineRule="auto"/>
        <w:ind w:firstLine="480" w:firstLineChars="200"/>
        <w:rPr>
          <w:rFonts w:hint="eastAsia" w:ascii="宋体" w:hAnsi="宋体" w:eastAsia="宋体" w:cs="宋体"/>
          <w:sz w:val="24"/>
          <w:szCs w:val="24"/>
          <w:lang w:eastAsia="zh-CN"/>
        </w:rPr>
      </w:pPr>
    </w:p>
    <w:p w14:paraId="6F2CD782">
      <w:pPr>
        <w:spacing w:line="48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乙方：</w:t>
      </w:r>
    </w:p>
    <w:p w14:paraId="7F9B533D">
      <w:pPr>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乙方（公章）：</w:t>
      </w:r>
    </w:p>
    <w:p w14:paraId="0DB164F1">
      <w:pPr>
        <w:spacing w:line="480" w:lineRule="auto"/>
        <w:ind w:firstLine="500" w:firstLineChars="200"/>
        <w:rPr>
          <w:rFonts w:hint="eastAsia" w:ascii="宋体" w:hAnsi="宋体" w:eastAsia="宋体" w:cs="宋体"/>
          <w:sz w:val="24"/>
          <w:szCs w:val="24"/>
          <w:lang w:eastAsia="zh-CN"/>
        </w:rPr>
      </w:pPr>
      <w:r>
        <w:rPr>
          <w:rFonts w:hint="eastAsia" w:ascii="宋体" w:hAnsi="宋体" w:eastAsia="宋体" w:cs="宋体"/>
          <w:spacing w:val="5"/>
          <w:sz w:val="24"/>
          <w:szCs w:val="24"/>
          <w:lang w:eastAsia="zh-CN"/>
        </w:rPr>
        <w:t>法定代表人或授权代表：</w:t>
      </w:r>
      <w:r>
        <w:rPr>
          <w:rFonts w:hint="eastAsia" w:ascii="宋体" w:hAnsi="宋体" w:eastAsia="宋体" w:cs="宋体"/>
          <w:spacing w:val="-85"/>
          <w:sz w:val="24"/>
          <w:szCs w:val="24"/>
          <w:lang w:eastAsia="zh-CN"/>
        </w:rPr>
        <w:t xml:space="preserve"> </w:t>
      </w:r>
      <w:r>
        <w:rPr>
          <w:rFonts w:hint="eastAsia" w:ascii="宋体" w:hAnsi="宋体" w:eastAsia="宋体" w:cs="宋体"/>
          <w:spacing w:val="3"/>
          <w:sz w:val="24"/>
          <w:szCs w:val="24"/>
          <w:u w:val="single"/>
          <w:lang w:eastAsia="zh-CN"/>
        </w:rPr>
        <w:t xml:space="preserve">                      </w:t>
      </w:r>
      <w:r>
        <w:rPr>
          <w:rFonts w:hint="eastAsia" w:ascii="宋体" w:hAnsi="宋体" w:eastAsia="宋体" w:cs="宋体"/>
          <w:spacing w:val="-57"/>
          <w:sz w:val="24"/>
          <w:szCs w:val="24"/>
          <w:lang w:eastAsia="zh-CN"/>
        </w:rPr>
        <w:t xml:space="preserve"> </w:t>
      </w:r>
      <w:r>
        <w:rPr>
          <w:rFonts w:hint="eastAsia" w:ascii="宋体" w:hAnsi="宋体" w:eastAsia="宋体" w:cs="宋体"/>
          <w:spacing w:val="5"/>
          <w:sz w:val="24"/>
          <w:szCs w:val="24"/>
          <w:lang w:eastAsia="zh-CN"/>
        </w:rPr>
        <w:t>(签字或盖章)</w:t>
      </w:r>
    </w:p>
    <w:p w14:paraId="437415D9">
      <w:pPr>
        <w:spacing w:line="480" w:lineRule="auto"/>
        <w:ind w:firstLine="480" w:firstLineChars="200"/>
      </w:pPr>
      <w:r>
        <w:rPr>
          <w:rFonts w:hint="eastAsia" w:ascii="宋体" w:hAnsi="宋体" w:eastAsia="宋体" w:cs="宋体"/>
          <w:sz w:val="24"/>
          <w:szCs w:val="24"/>
          <w:lang w:eastAsia="zh-CN"/>
        </w:rPr>
        <w:t>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934FD">
    <w:pPr>
      <w:pStyle w:val="2"/>
      <w:spacing w:line="14" w:lineRule="auto"/>
      <w:rPr>
        <w:rFonts w:hint="eastAsia"/>
        <w:sz w:val="20"/>
      </w:rPr>
    </w:pPr>
    <w:r>
      <w:rPr>
        <w:sz w:val="20"/>
      </w:rPr>
      <mc:AlternateContent>
        <mc:Choice Requires="wps">
          <w:drawing>
            <wp:anchor distT="0" distB="0" distL="114300" distR="114300" simplePos="0" relativeHeight="251659264" behindDoc="0" locked="0" layoutInCell="1" allowOverlap="1">
              <wp:simplePos x="0" y="0"/>
              <wp:positionH relativeFrom="margin">
                <wp:posOffset>2518410</wp:posOffset>
              </wp:positionH>
              <wp:positionV relativeFrom="paragraph">
                <wp:posOffset>-1905</wp:posOffset>
              </wp:positionV>
              <wp:extent cx="1134745" cy="2032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4534" cy="2032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1ECE2C">
                          <w:pPr>
                            <w:pStyle w:val="4"/>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40</w:t>
                          </w:r>
                          <w:r>
                            <w:rPr>
                              <w:rFonts w:hint="eastAsia" w:ascii="仿宋" w:hAnsi="仿宋" w:eastAsia="仿宋" w:cs="仿宋"/>
                            </w:rPr>
                            <w:fldChar w:fldCharType="end"/>
                          </w:r>
                          <w:r>
                            <w:rPr>
                              <w:rFonts w:hint="eastAsia" w:ascii="仿宋" w:hAnsi="仿宋" w:eastAsia="仿宋" w:cs="仿宋"/>
                            </w:rPr>
                            <w:t xml:space="preserve"> 页 共 </w:t>
                          </w:r>
                          <w:r>
                            <w:rPr>
                              <w:rFonts w:hint="eastAsia" w:ascii="仿宋" w:hAnsi="仿宋" w:eastAsia="仿宋" w:cs="仿宋"/>
                            </w:rPr>
                            <w:fldChar w:fldCharType="begin"/>
                          </w:r>
                          <w:r>
                            <w:rPr>
                              <w:rFonts w:hint="eastAsia" w:ascii="仿宋" w:hAnsi="仿宋" w:eastAsia="仿宋" w:cs="仿宋"/>
                            </w:rPr>
                            <w:instrText xml:space="preserve"> NUMPAGES  \* MERGEFORMAT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8.3pt;margin-top:-0.15pt;height:16pt;width:89.35pt;mso-position-horizontal-relative:margin;z-index:251659264;mso-width-relative:page;mso-height-relative:page;" filled="f" stroked="f" coordsize="21600,21600" o:gfxdata="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mx9yO1wAAAAgBAAAPAAAAAAAAAAEAIAAAACIAAABkcnMvZG93bnJldi54bWxQ&#10;SwECFAAUAAAACACHTuJAWB9RcTECAABWBAAADgAAAAAAAAABACAAAAAmAQAAZHJzL2Uyb0RvYy54&#10;bWxQSwUGAAAAAAYABgBZAQAAyQUAAAAA&#10;">
              <v:fill on="f" focussize="0,0"/>
              <v:stroke on="f" weight="0.5pt"/>
              <v:imagedata o:title=""/>
              <o:lock v:ext="edit" aspectratio="f"/>
              <v:textbox inset="0mm,0mm,0mm,0mm">
                <w:txbxContent>
                  <w:p w14:paraId="771ECE2C">
                    <w:pPr>
                      <w:pStyle w:val="4"/>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40</w:t>
                    </w:r>
                    <w:r>
                      <w:rPr>
                        <w:rFonts w:hint="eastAsia" w:ascii="仿宋" w:hAnsi="仿宋" w:eastAsia="仿宋" w:cs="仿宋"/>
                      </w:rPr>
                      <w:fldChar w:fldCharType="end"/>
                    </w:r>
                    <w:r>
                      <w:rPr>
                        <w:rFonts w:hint="eastAsia" w:ascii="仿宋" w:hAnsi="仿宋" w:eastAsia="仿宋" w:cs="仿宋"/>
                      </w:rPr>
                      <w:t xml:space="preserve"> 页 共 </w:t>
                    </w:r>
                    <w:r>
                      <w:rPr>
                        <w:rFonts w:hint="eastAsia" w:ascii="仿宋" w:hAnsi="仿宋" w:eastAsia="仿宋" w:cs="仿宋"/>
                      </w:rPr>
                      <w:fldChar w:fldCharType="begin"/>
                    </w:r>
                    <w:r>
                      <w:rPr>
                        <w:rFonts w:hint="eastAsia" w:ascii="仿宋" w:hAnsi="仿宋" w:eastAsia="仿宋" w:cs="仿宋"/>
                      </w:rPr>
                      <w:instrText xml:space="preserve"> NUMPAGES  \* MERGEFORMAT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0D90C">
    <w:pPr>
      <w:pStyle w:val="2"/>
      <w:spacing w:line="14" w:lineRule="auto"/>
      <w:rPr>
        <w:rFonts w:hint="eastAsi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ACD9B"/>
    <w:multiLevelType w:val="singleLevel"/>
    <w:tmpl w:val="BEFACD9B"/>
    <w:lvl w:ilvl="0" w:tentative="0">
      <w:start w:val="1"/>
      <w:numFmt w:val="chineseCounting"/>
      <w:suff w:val="nothing"/>
      <w:lvlText w:val="（%1）"/>
      <w:lvlJc w:val="left"/>
      <w:rPr>
        <w:rFonts w:hint="eastAsia"/>
      </w:rPr>
    </w:lvl>
  </w:abstractNum>
  <w:abstractNum w:abstractNumId="1">
    <w:nsid w:val="BFAF0F39"/>
    <w:multiLevelType w:val="singleLevel"/>
    <w:tmpl w:val="BFAF0F39"/>
    <w:lvl w:ilvl="0" w:tentative="0">
      <w:start w:val="8"/>
      <w:numFmt w:val="chineseCounting"/>
      <w:suff w:val="nothing"/>
      <w:lvlText w:val="%1、"/>
      <w:lvlJc w:val="left"/>
      <w:rPr>
        <w:rFonts w:hint="eastAsia"/>
      </w:rPr>
    </w:lvl>
  </w:abstractNum>
  <w:abstractNum w:abstractNumId="2">
    <w:nsid w:val="EFA65ED2"/>
    <w:multiLevelType w:val="singleLevel"/>
    <w:tmpl w:val="EFA65ED2"/>
    <w:lvl w:ilvl="0" w:tentative="0">
      <w:start w:val="5"/>
      <w:numFmt w:val="chineseCounting"/>
      <w:suff w:val="nothing"/>
      <w:lvlText w:val="（%1）"/>
      <w:lvlJc w:val="left"/>
      <w:rPr>
        <w:rFonts w:hint="eastAsia"/>
      </w:rPr>
    </w:lvl>
  </w:abstractNum>
  <w:abstractNum w:abstractNumId="3">
    <w:nsid w:val="FDDE7EE2"/>
    <w:multiLevelType w:val="singleLevel"/>
    <w:tmpl w:val="FDDE7EE2"/>
    <w:lvl w:ilvl="0" w:tentative="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OTQ5ZTU2ZGRiOWRjMTNkZDlkNDZkYTU3NDc5NGEifQ=="/>
  </w:docVars>
  <w:rsids>
    <w:rsidRoot w:val="00000000"/>
    <w:rsid w:val="1DA2336C"/>
    <w:rsid w:val="25000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ind w:left="721"/>
      <w:outlineLvl w:val="0"/>
    </w:pPr>
    <w:rPr>
      <w:b/>
      <w:bCs/>
      <w:sz w:val="24"/>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4">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2025-11-19T11:44:32Z</dcterms:created>
  <dc:creator>Administrator</dc:creator>
  <cp:lastModifiedBy>大十三哥</cp:lastModifiedBy>
  <dcterms:modified xsi:type="dcterms:W3CDTF">2025-11-19T11:45:16Z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A1B355FB51CC4F6BB0CE93031D44CC3C_12</vt:lpwstr>
  </property>
</Properties>
</file>