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版本号：HXGJXM2025-ZC-CS112120251124001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大差市院区装修项目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HXGJXM2025-ZC-CS1121</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大差市院区装修项目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HXGJXM2025-ZC-CS1121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大差市院区装修项目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人民医院（西安市第四医院）大差市院区住院一部2004年建成并投入使用。基础设施陈旧破损，舒适性低，已不能为患者提供优质服务，影响患者就医体验及医院高质量发展。因住院一部处于使用状态，且医院床位使用率高，为确保患者就医，因此不能大面积开展装修工作，需根据实际情况逐步装修，本项目为住院一部10层进行装修。本项目采购预算120万元（含暂列金10.75577万元），具体要求详见磋商文件第三章相关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采购包1（大差市院区装修项目）：属于专门面向中小企业采购。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2、单位资质：供应商具备建设行政主管部门核发的建筑工程施工总承包三级（含三级）以上资质或建筑装修装饰工程专业承包二级(含二级）以上资质，且具备合法有效的企业安全生产许可证。</w:t>
      </w:r>
    </w:p>
    <w:p>
      <w:pPr>
        <w:pStyle w:val="null3"/>
      </w:pPr>
      <w:r>
        <w:rPr>
          <w:rFonts w:ascii="仿宋_GB2312" w:hAnsi="仿宋_GB2312" w:cs="仿宋_GB2312" w:eastAsia="仿宋_GB2312"/>
        </w:rPr>
        <w:t>3、拟派项目经理资质：拟派施工项目经理需具备建筑工程专业二级及以上注册建造师资格，并持有有效的安全生产考核合格证书（B证），且无在建工程、无不良记录（提供无在建工程、无不良记录承诺书）。</w:t>
      </w:r>
    </w:p>
    <w:p>
      <w:pPr>
        <w:pStyle w:val="null3"/>
      </w:pPr>
      <w:r>
        <w:rPr>
          <w:rFonts w:ascii="仿宋_GB2312" w:hAnsi="仿宋_GB2312" w:cs="仿宋_GB2312" w:eastAsia="仿宋_GB2312"/>
        </w:rPr>
        <w:t>4、信用信息：供应商未被“中国执行信息公开网”（https://zxgk.court.gov.cn/shixin/）列入失信被执行人，未被“信用中国”网站（www.creditchina.gov.cn）列入重大税收违法失信主体，未被中国政府采购网（www.ccgp.gov.cn）列入政府采购严重违法失信行为记录名单；（以代理机构开标现场查询为准）</w:t>
      </w:r>
    </w:p>
    <w:p>
      <w:pPr>
        <w:pStyle w:val="null3"/>
      </w:pPr>
      <w:r>
        <w:rPr>
          <w:rFonts w:ascii="仿宋_GB2312" w:hAnsi="仿宋_GB2312" w:cs="仿宋_GB2312" w:eastAsia="仿宋_GB2312"/>
        </w:rPr>
        <w:t>5、非联合体：本项目不接受联合体磋商。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029-61199741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柴彩珍、张宝育、康敏茹、张艳萍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和改革委员会办公厅颁发的《关于招标代理服务收费有关问题的通知》（发改办价格[2003]857号）的有关规定下浮20%执行。 招标代理服务费账户： 户名：华夏国际项目管理（西安）有限公司第一分公司 银行账号：78620188000199459 开户行：中国光大银行股份有限公司西安南二环支行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踏勘时间：2025-12-10 09:30:00</w:t>
            </w:r>
          </w:p>
          <w:p>
            <w:pPr>
              <w:pStyle w:val="null3"/>
              <w:ind w:firstLine="975"/>
            </w:pPr>
            <w:r>
              <w:rPr>
                <w:rFonts w:ascii="仿宋_GB2312" w:hAnsi="仿宋_GB2312" w:cs="仿宋_GB2312" w:eastAsia="仿宋_GB2312"/>
              </w:rPr>
              <w:t>踏勘地点：大差市院区门诊部门口，过时不候</w:t>
            </w:r>
          </w:p>
          <w:p>
            <w:pPr>
              <w:pStyle w:val="null3"/>
              <w:ind w:firstLine="975"/>
            </w:pPr>
            <w:r>
              <w:rPr>
                <w:rFonts w:ascii="仿宋_GB2312" w:hAnsi="仿宋_GB2312" w:cs="仿宋_GB2312" w:eastAsia="仿宋_GB2312"/>
              </w:rPr>
              <w:t>联系人：柴彩珍</w:t>
            </w:r>
          </w:p>
          <w:p>
            <w:pPr>
              <w:pStyle w:val="null3"/>
              <w:ind w:firstLine="975"/>
            </w:pPr>
            <w:r>
              <w:rPr>
                <w:rFonts w:ascii="仿宋_GB2312" w:hAnsi="仿宋_GB2312" w:cs="仿宋_GB2312" w:eastAsia="仿宋_GB2312"/>
              </w:rPr>
              <w:t>联系电话号码：13279327383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联系人：柴彩珍、张宝育、康敏茹、张艳萍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大差市院区装修项目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标的名称：大差市院区装修项目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一、项目名称:大差市院区装修项目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二、设计图纸及工程量清单</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1、设计公司设计图纸（图纸与工程量清单不一致时以图纸为准。）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2、大差市院区装修项目-装修专业施工图</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3、造价公司工程量清单 （图纸与工程量清单不一致时以图纸为准。）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4、大差市院区装修项目-工程量清单</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三、施工要求</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（一）总体原则：完善配套设施，功能与设施符合规范设计。 项目范围内的施工工艺、技术及材料的选择都应具有先进性，满足现代化医院的使用要求。工艺的安排应具有先进性、高可靠性、实用性、经济性与合理性。全部技术指标，包括材料、包装、运输、安装、调试等各项目技术参数，必须符合国家规范的相关要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1、最终价格依照审计结果进行支付。</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2、协助配合采购人做好装修工程的解决办法、施工方案等工作，不计费用。</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3、严格按照采购人的指令要求进行施工，做好施工前、施工过程和施工后的照片记录，按要求做好验收、工程量签证，提交工程量清单，及时编制并提交工程结算。</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4、承包方应为现场施工人员需自行购买保险，相关用工风险、法律责任等由中标单位自行承担，施工过程要做好工程范围的安全防护措施，发生一切安全事故均由施工单位负责，院方不承担任何责任。</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5、该工程中所用材料必须符合国家、行业标准，且均须采用国内知名品牌，承包方在投标文件须注明品牌并随附相关产品检测报告。</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（二）相关行业规范（包含但不限于以下行业规范） 现行的国家及陕西省有关建筑及建筑装饰工程设计相关专业规程、规范和规定。 《建筑装饰装修工程质量验收标准》GB50210-2018 《建筑设计防火规范》GB50016-2014(2018年版) 《建筑内部装修设计防火规范》GB50222-2017 《建筑装修防火设计材料手册》中国计划出版社 《安全防范工程技术规范》GB50348-2018 《民用建筑设计统一标准》GB50352-2019 《民用建筑工程室内环境污染控制规范》GB50325-2020 《建筑环境通用规范》GB55016-20Z1 《医院建筑设计规范》GB50243-2016 《民用建筑照明设计标准》GB1133-90 《建筑地面设计规范》GB50037-2013 《民用建筑通用规范》GB 55031-2022 《建筑防火通用规范》GB 55037-2022 《无隆碍设计规范》GB 50763-2012 《既有建筑维护与改造通用规范》GB 55022-2021 注:若图纸中出现跟上述技术标准与规范不同之处，须以国家颁布最新规范为准。</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（三）建筑垃圾处置 装修产生的建筑垃圾由施工单位自行清运并合规处理，工完场清。</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四）凡需要列入固定资产的，须开具货物类发票（税务系统清单式发票），否则无法付款，造成的法律与经济责任由乙方负责。（注：固定资产是指使用年限超过1年(不含1年)、单位价值在1000元及以上(其中：专业设备单位价值在1500元及以上),并在使用过程中基本保持原有物质形态的资产，包括房屋和构筑物、设备、图书和档案、家具和用具等。单位价值虽未达到规定标准，但是使用年限超过1年(不含1年)的大批同类物资，如图书、家具、用具、装具等，应当确认为固定资产。）</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详见清单编制说明</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（一）主要商务条款 1、施工工期：以监理工程师签发的《工程开工令》起≤90个日历日，无论工程大小难易以及节假日与夜间施工，要求乙方积极组织施工力量正常施工，服从甲方工作安排，完成全部项目装修工程并交付采购人验收合格使用，不得延期。工程如逢元旦、春节、端午、五一、中秋、国庆及周末等节假日，不能停工，每停工一天，扣合同总价的1％。 2、履约地点：采购人指定地点。 3、支付约定： （1）装修工程费支付方式： ①自项目合同签订后，自合同签订之日起30个日历日内，以合同总价的10%作为预付款（包含安全文明施工措施费）。 ②具备项目验收条件，乙方申请验收后，一个月内组织验收。经甲方验收合格后30日内，支付至合同总价的50%；进入工程决算审计、财务决算审计阶段，获得有效的工程决算审计、财务决算审计报告后，自接到发票之日起，一个月内无息支付至审定总价的97%。 ③以验收合格日期算起，质保期（以最长质保期为准）满，无质量及技术服务问题，一个月内无息支付审计后审定总价的3%。 （2）银行转账。 （3）结算方式：承包方持施工合同、合格的验收单、合格的审计结果、等额合规发票，与采购人结算。 承包方延期提供发票或提供的发票不符合采购人要求的，采购人有权拒付合同款项且不承担任何法律责任。因承包方原因导致采购人不能及时付款的，采购人无需承担任何责任。 4、验收交付标准和方法 （1）自验收之日算起，按《建筑装饰装修工程质量验收标准》GB50210-2018相关规定，返修期间工期不顺延，由此产生的费用及造成的损失，承包方自行承担。 （2）施工所需物品到达采购人指定地点后，采购人根据合同要求，进行外观验收，确认产地、规格、型号和数量。 （3）隐蔽工程在隐蔽前须进行分项验收，承包方留存相关照片及资料。 （4）按照采购人标书和承包方投标文件及承诺中的要求，安装、调试、检测，平稳运行，确认项目完成，承包方进行自检，自检合格后，准备验收文件，并书面通知采购人。 （5）采购人确认承包方的自检内容后，组织承包方（必要时请有关专家）进行工程验收。验收合格后，填写验收单（一式六份）作为对项目的最终认可。 （6）验收合格，承包方必须向采购人提供决算书及审计资料报送审计；如验收不合格，承包方应负责整改或返修，直至采购人验收合格为至，且工期不顺延，由此产生的费用及造成的损失及违约责任，承包方自行承担。若承包方交付项目验收不合格累计超过3次的，采购人有权选择解除合同，若合同解除，承包方应按照本协议违约责任第2款承担违约责任。若因承包方项目施工验收不合格导致承包方施工交付延期的，承包方仍应按合同违约责任第2款承担违约责任。 （7）承包方向采购人提交项目实施过程中的所有资料，以便采购人日后管理和维护。 （8）验收依据 a采购文件、响应文件、澄清表（函）； b本合同及附件文本； c国家相应的标准、规范； d项目竣工资料、图纸、检验测试报告（包含纸质及电子扫描件）； e其它资料。 5、质量保修范围和保修期 自竣工验收合格之日起： （1）基础设施工程、房屋建筑的地基基础工程和主体结构工程，为设计文件规定的该工程的合理使用年限； （2）屋面防水工程、有防水要求的卫生间、房间和外墙面的防渗漏，为5年； （3）电气管线、给排水管道、设备安装和装修工程，为2年。 （4）照明灯具、门窗锁具、小五金等低值易耗品保修期为1年。 （二）供应商须知 1、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 2、根据西安市财政局《关于促进政府采购公平竞争优化营商环境的通知》(市财函[2021]431号)文中“第16条规定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 1、提供合格有效的法人或者其他组织的营业执照等证明文件，自然人的身份证明；供应商是法人或其他组织的应提供营业执照等证明文件，供应商是自然人的应提供有效的自然人身份证明。 2、财务状况报告：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 3、税收缴纳证明：提供递交响应文件截止之日前一年内任意一个月的依法缴纳税收的完税证明，完税证明应有税务机关或代收机关的公章或业务专用章。依法免税或无须缴纳税收的供应商，应提供相应证明文件。 4、社会保障资金缴纳证明：提供谈判时间前一年内已缴存的至少一个月的社会保障资金缴存单据或社保机构开具的社会保险参保缴费情况证明，依法不需要缴纳社会保障资金的单位应提供相关证明材料。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单位资质</w:t>
            </w:r>
          </w:p>
        </w:tc>
        <w:tc>
          <w:tcPr>
            <w:tcW w:type="dxa" w:w="3322"/>
          </w:tcPr>
          <w:p>
            <w:pPr>
              <w:pStyle w:val="null3"/>
            </w:pPr>
            <w:r>
              <w:rPr>
                <w:rFonts w:ascii="仿宋_GB2312" w:hAnsi="仿宋_GB2312" w:cs="仿宋_GB2312" w:eastAsia="仿宋_GB2312"/>
              </w:rPr>
              <w:t>供应商具备建设行政主管部门核发的建筑工程施工总承包三级（含三级）以上资质或建筑装修装饰工程专业承包二级(含二级）以上资质，且具备合法有效的企业安全生产许可证。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拟派施工项目经理需具备建筑工程专业二级及以上注册建造师资格，并持有有效的安全生产考核合格证书（B证），且无在建工程、无不良记录（提供无在建工程、无不良记录承诺书）。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中国执行信息公开网”（https://zxgk.court.gov.cn/shixin/）列入失信被执行人，未被“信用中国”网站（www.creditchina.gov.cn）列入重大税收违法失信主体，未被中国政府采购网（www.ccgp.gov.cn）列入政府采购严重违法失信行为记录名单；（以代理机构开标现场查询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响应分项报价表（首次）.docx 报价函 标的清单 报价一览表（首次报价表）.docx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合同条款偏离表.docx 供应商承诺书.docx 资格证明文件.docx 响应文件封面 磋商方案说明.docx 响应分项报价表（首次）.docx 残疾人福利性单位声明函 报价函 标的清单 响应函 报价一览表（首次报价表）.docx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合同条款偏离表.docx 资格证明文件.docx 供应商承诺书.docx 响应文件封面 磋商方案说明.docx 响应分项报价表（首次）.docx 残疾人福利性单位声明函 报价函 标的清单 响应函 报价一览表（首次报价表）.docx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响应分项报价表（首次）.docx 报价函 标的清单 报价一览表（首次报价表）.docx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中小企业声明函 合同条款偏离表.docx 供应商承诺书.docx 资格证明文件.docx 响应文件封面 磋商方案说明.docx 响应分项报价表（首次）.docx 残疾人福利性单位声明函 报价函 标的清单 响应函 报价一览表（首次报价表）.docx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应满足磋商文件的规定（详见第七章供应商承诺书）。</w:t>
            </w:r>
          </w:p>
        </w:tc>
        <w:tc>
          <w:tcPr>
            <w:tcW w:type="dxa" w:w="1661"/>
          </w:tcPr>
          <w:p>
            <w:pPr>
              <w:pStyle w:val="null3"/>
            </w:pPr>
            <w:r>
              <w:rPr>
                <w:rFonts w:ascii="仿宋_GB2312" w:hAnsi="仿宋_GB2312" w:cs="仿宋_GB2312" w:eastAsia="仿宋_GB2312"/>
              </w:rPr>
              <w:t>响应文件封面 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不存在法律、法规和磋商文件规定的其他无效磋商情形。</w:t>
            </w:r>
          </w:p>
        </w:tc>
        <w:tc>
          <w:tcPr>
            <w:tcW w:type="dxa" w:w="1661"/>
          </w:tcPr>
          <w:p>
            <w:pPr>
              <w:pStyle w:val="null3"/>
            </w:pPr>
            <w:r>
              <w:rPr>
                <w:rFonts w:ascii="仿宋_GB2312" w:hAnsi="仿宋_GB2312" w:cs="仿宋_GB2312" w:eastAsia="仿宋_GB2312"/>
              </w:rPr>
              <w:t>中小企业声明函 合同条款偏离表.docx 供应商承诺书.docx 资格证明文件.docx 响应文件封面 磋商方案说明.docx 响应分项报价表（首次）.docx 残疾人福利性单位声明函 报价函 标的清单 响应函 报价一览表（首次报价表）.docx 商务条款偏离表.docx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技术、服务标准和要求响应</w:t>
            </w:r>
          </w:p>
        </w:tc>
        <w:tc>
          <w:tcPr>
            <w:tcW w:type="dxa" w:w="2492"/>
          </w:tcPr>
          <w:p>
            <w:pPr>
              <w:pStyle w:val="null3"/>
            </w:pPr>
            <w:r>
              <w:rPr>
                <w:rFonts w:ascii="仿宋_GB2312" w:hAnsi="仿宋_GB2312" w:cs="仿宋_GB2312" w:eastAsia="仿宋_GB2312"/>
              </w:rPr>
              <w:t>根据招标文件要求第三章3.1技术、服务标准和要求（除各大项标题外的13小项）审核投标文件中的响应，完全响应满足招标文件要求，得6.5分；有一项不响应或响应内容不全，均视为负偏离，扣0.5分。 备注：以投标人投标文件中“《技术、服务标准和要求》响应表”响应内容为准，供应商对其响应真实性负责。</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提供针对本项目的具体的实施方案，包括但不限于：①工作重点与难点分析及对应措施；②详细的施工方案；③周边设施及成品保护方案；④新技术、新产品、新工艺、新材料应用；⑤工程资料管理方案。 方案各部分内容全面详细、阐述条理清晰详尽、符合本项目采购需求，能够确保项目顺利实施，得10分；以上分项每缺少一项内容扣2分；有某一项不完整或不符合实际要求或不满足实施要求或套用其他项目内容的每项扣（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安全作业方案</w:t>
            </w:r>
          </w:p>
        </w:tc>
        <w:tc>
          <w:tcPr>
            <w:tcW w:type="dxa" w:w="2492"/>
          </w:tcPr>
          <w:p>
            <w:pPr>
              <w:pStyle w:val="null3"/>
            </w:pPr>
            <w:r>
              <w:rPr>
                <w:rFonts w:ascii="仿宋_GB2312" w:hAnsi="仿宋_GB2312" w:cs="仿宋_GB2312" w:eastAsia="仿宋_GB2312"/>
              </w:rPr>
              <w:t>根据针对本项目提供的安全作业方案进行综合评审。 1、方案内容具体、详细，合理可行，完全符合并优于采购人安全作业的要求，得5分； 2、方案内容有一定针对性，基本合理可行，基本符合采购人安全作业的要求，得3分； 3、方案内容简单笼统，无针对性，得1分；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根据针对本项目提供的文明施工措施计划进行综合评审。 1、措施计划详尽、合理且切实可行，完全满足采购人需求，得5分； 2、措施计划较全面、合理、基本可行，基本满足采购人需求，得3分； 3、措施计划简单笼统，无针对性，得1分；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针对本项目提供的项目进度计划和工期目标情况进行综合评审。 1、进度计划安排合理、措施有效，工期目标明确，满足采购人要求，得5分； 2、进度计划安排较合理、措施较有效，工期目标基本清晰，基本满足采购人要求，得3分； 3、进度计划和工期目标内容简单笼统，无针对性，得1分。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治污减霾、防尘污染技术措施</w:t>
            </w:r>
          </w:p>
        </w:tc>
        <w:tc>
          <w:tcPr>
            <w:tcW w:type="dxa" w:w="2492"/>
          </w:tcPr>
          <w:p>
            <w:pPr>
              <w:pStyle w:val="null3"/>
            </w:pPr>
            <w:r>
              <w:rPr>
                <w:rFonts w:ascii="仿宋_GB2312" w:hAnsi="仿宋_GB2312" w:cs="仿宋_GB2312" w:eastAsia="仿宋_GB2312"/>
              </w:rPr>
              <w:t>根据针对本项目提供的治污减霾、防尘污染技术措施进行综合评审。 1、技术措施内容完善、科学合理可行性强，满足采购人需求，得5分； 2、技术措施内容较完善、有一定合理可行性，基本满足采购人需求，得3分； 3、技术措施简单笼统，无针对性，得1分。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质量保证体系及措</w:t>
            </w:r>
          </w:p>
        </w:tc>
        <w:tc>
          <w:tcPr>
            <w:tcW w:type="dxa" w:w="2492"/>
          </w:tcPr>
          <w:p>
            <w:pPr>
              <w:pStyle w:val="null3"/>
            </w:pPr>
            <w:r>
              <w:rPr>
                <w:rFonts w:ascii="仿宋_GB2312" w:hAnsi="仿宋_GB2312" w:cs="仿宋_GB2312" w:eastAsia="仿宋_GB2312"/>
              </w:rPr>
              <w:t>根据针对本项目提供的质量保证体系及措施进行综合评审。 1、质量保证体系健全，措施科学合理可行性强，满足采购人需求，得5分； 2、质量保证体系内容较完善，措施有一定合理可行性，基本满足采购人需求，得3分； 3、质量保证体系及措施简单笼统，无针对性，得1分。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根据针对本项目提供的施工机械配备和材料投入计划情况进行综合评审。 1、机具设备和材料投入数量充足，与项目匹配度高，完全满足项目需要，得5分； 2、机具设备和材料投入数量基本满足项目需要，与项目基本匹配，，得3分； 3、机具设备配置简单，无针对性，无法确保满足项目需要，得1分。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1、职称：具备工程类高级技术职称的，得1.5分，其他不得分。备注：提供相关证书，未提供不得分。 2、业绩：供应商具有2023年1月1日至今（以合同签订时间为准）的同类项目业绩，每提供一份有效业绩得1分，最高得3分。 备注： （1）业绩证明材料以同时提供的合同复印件并加盖供应商公章为准。 （2）合同主体须为供应商本企业，且合同中必须体现项目经理相关信息。 （3）未提供或不符合要求不得分。弄虚作假者取消其成交资格。 （4）本项项目经理业绩与供应商业绩不重复计分。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人员配置情况</w:t>
            </w:r>
          </w:p>
        </w:tc>
        <w:tc>
          <w:tcPr>
            <w:tcW w:type="dxa" w:w="2492"/>
          </w:tcPr>
          <w:p>
            <w:pPr>
              <w:pStyle w:val="null3"/>
            </w:pPr>
            <w:r>
              <w:rPr>
                <w:rFonts w:ascii="仿宋_GB2312" w:hAnsi="仿宋_GB2312" w:cs="仿宋_GB2312" w:eastAsia="仿宋_GB2312"/>
              </w:rPr>
              <w:t>根据针对本项目提供的人员配置情况（包括但不限于：①项目管理机构机构设置。提供团员组成人员名单（包括但不限于项目经理、技术负责人、施工员、安全员、质量员、资料员）及人员岗位职责；②项目经理及团队人员中具有与本项目相关的专业人员证书（包括但不限于学历证、职称证、资格证等））进行综合评审。 1、人员配置合理，专业性强，完全满足项目需要，能够确保项目顺利开展，得5分； 2、人员配置较合理，专业性较强，基本能够确保项目顺利开展，得3分； 3、人员配置简单，专业性、针对性欠缺，得1分。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根据针对本项目提供的风险预防及应急预案（包括但不限于：①应急保障及应急处理团队及设备设施；②赶工应急处理方案；③突发事件及紧急情况（包括火灾、事故、发生暴雨等灾害性天气及停水、停电突发事件等）进行综合评审。 1、风险预测与防范内容完善，针对性强，预案及措施科学合理可行性强，得5分； 2、风险预测与防范内容较完善，预案及措施有一定针对性和可行性强，得3分； 3、风险预测与防范内容、预案及措施内容简单笼统，无针对性，得1分。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根据针对本项目提供的售后服务方案进行综合评审。售后服务方案，包括但不限于①售后服务内容、售后服务响应方式及时间；②售后服务保障措施。 方案各部分内容全面详细、阐述条理清晰详尽、符合本项目采购需求，能够确保项目顺利实施，得4分；以上分项每缺少一项内容扣2分；有某一项不完整或不符合实际要求或不满足实施要求或套用其他项目内容的每项扣（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供应商具有2023年1月1日至今（以合同签订时间为准）的同类项目业绩，每提供一份有效业绩得1分，最高得5分。 备注： （1）业绩证明材料以同时提供的合同复印件/扫描件和验收单并加盖供应商公章为准。 （2）合同主体须为供应商本企业。 （3）未提供或不符合要求不得分。弄虚作假者取消其成交资格。 （4）本项企业业绩与项目经理业绩不重复计分。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1、经初审合格的响应文件，其磋商最终报价为有效磋商报价。 2、有效最低报价为磋商基准价。 3、磋商报价按（磋商基准价/有效磋商报价）×30的公式计算其得分。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报价一览表（二次报价表）.docx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详见附件：报价一览表（首次报价表）.docx</w:t>
      </w:r>
    </w:p>
    <w:p>
      <w:pPr>
        <w:pStyle w:val="null3"/>
        <w:ind w:firstLine="960"/>
      </w:pPr>
      <w:r>
        <w:rPr>
          <w:rFonts w:ascii="仿宋_GB2312" w:hAnsi="仿宋_GB2312" w:cs="仿宋_GB2312" w:eastAsia="仿宋_GB2312"/>
        </w:rPr>
        <w:t>详见附件：响应分项报价表（首次）.docx</w:t>
      </w:r>
    </w:p>
    <w:p>
      <w:pPr>
        <w:pStyle w:val="null3"/>
        <w:ind w:firstLine="960"/>
      </w:pPr>
      <w:r>
        <w:rPr>
          <w:rFonts w:ascii="仿宋_GB2312" w:hAnsi="仿宋_GB2312" w:cs="仿宋_GB2312" w:eastAsia="仿宋_GB2312"/>
        </w:rPr>
        <w:t>详见附件：报价一览表（二次报价表）.docx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