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版本号：XHZB2025-CS-073-00120251121001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西安市未央区人民法院集约送达补充服务项目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XHZB2025-CS-073-001</w:t>
      </w:r>
      <w:r>
        <w:br/>
      </w:r>
      <w:r>
        <w:br/>
      </w:r>
      <w:r>
        <w:br/>
      </w:r>
    </w:p>
    <w:p>
      <w:pPr>
        <w:pStyle w:val="null3"/>
        <w:jc w:val="center"/>
        <w:outlineLvl w:val="2"/>
      </w:pPr>
      <w:r>
        <w:rPr>
          <w:rFonts w:ascii="仿宋_GB2312" w:hAnsi="仿宋_GB2312" w:cs="仿宋_GB2312" w:eastAsia="仿宋_GB2312"/>
          <w:sz w:val="28"/>
          <w:b/>
        </w:rPr>
        <w:t>西安市未央区人民法院[158]</w:t>
      </w:r>
    </w:p>
    <w:p>
      <w:pPr>
        <w:pStyle w:val="null3"/>
        <w:jc w:val="center"/>
        <w:outlineLvl w:val="2"/>
      </w:pPr>
      <w:r>
        <w:rPr>
          <w:rFonts w:ascii="仿宋_GB2312" w:hAnsi="仿宋_GB2312" w:cs="仿宋_GB2312" w:eastAsia="仿宋_GB2312"/>
          <w:sz w:val="28"/>
          <w:b/>
        </w:rPr>
        <w:t>陕西星火工程管理有限公司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陕西星火工程管理有限公司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西安市未央区人民法院[158]</w:t>
      </w:r>
      <w:r>
        <w:rPr>
          <w:rFonts w:ascii="仿宋_GB2312" w:hAnsi="仿宋_GB2312" w:cs="仿宋_GB2312" w:eastAsia="仿宋_GB2312"/>
        </w:rPr>
        <w:t>委托，拟对</w:t>
      </w:r>
      <w:r>
        <w:rPr>
          <w:rFonts w:ascii="仿宋_GB2312" w:hAnsi="仿宋_GB2312" w:cs="仿宋_GB2312" w:eastAsia="仿宋_GB2312"/>
        </w:rPr>
        <w:t>西安市未央区人民法院集约送达补充服务项目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XHZB2025-CS-073-001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西安市未央区人民法院集约送达补充服务项目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因案件数量增加，原集约送达数量无法满足需求，现需对集约送达服务进行增补。需满足的要求:按照技术参数提供法院案件材料集约送达服务。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采购包1（西安市未央区人民法院集约送达补充服务项目）：属于专门面向中小企业采购。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1、身份证明：法定代表人直接参加磋商的须出具法定代表人身份证（须与营业执照上信息一致），法定代表人授权代表参加磋商的须出具法定代表人授权书及授权代表身份证</w:t>
      </w:r>
    </w:p>
    <w:p>
      <w:pPr>
        <w:pStyle w:val="null3"/>
      </w:pPr>
      <w:r>
        <w:rPr>
          <w:rFonts w:ascii="仿宋_GB2312" w:hAnsi="仿宋_GB2312" w:cs="仿宋_GB2312" w:eastAsia="仿宋_GB2312"/>
        </w:rPr>
        <w:t>2、信用查询：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pPr>
      <w:r>
        <w:rPr>
          <w:rFonts w:ascii="仿宋_GB2312" w:hAnsi="仿宋_GB2312" w:cs="仿宋_GB2312" w:eastAsia="仿宋_GB2312"/>
        </w:rPr>
        <w:t>3、供应商不得存在下列情形之一：（1）单位负责人为同一人或者存在直接控股、管理关系的不同供应商，不得参加本次采购活动；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西安市未央区人民法院[158]</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未央区浐灞大道2331号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029-88010008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陕西星火工程管理有限公司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西安市高新区高新路88号尚品国际C幢北12804室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安孜、刘秀玲、宋培嘉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029-88852300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代理服务费收费标准：参照国家发改委发改价格[2011]534号文件及国家计委计价格[2002]1980号文件规定计取，以成交金额为计算基数，按差额定率累进法计算。不足8000元的，按8000元收取。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西安市未央区人民法院[158]</w:t>
      </w:r>
      <w:r>
        <w:rPr>
          <w:rFonts w:ascii="仿宋_GB2312" w:hAnsi="仿宋_GB2312" w:cs="仿宋_GB2312" w:eastAsia="仿宋_GB2312"/>
        </w:rPr>
        <w:t>和</w:t>
      </w:r>
      <w:r>
        <w:rPr>
          <w:rFonts w:ascii="仿宋_GB2312" w:hAnsi="仿宋_GB2312" w:cs="仿宋_GB2312" w:eastAsia="仿宋_GB2312"/>
        </w:rPr>
        <w:t>陕西星火工程管理有限公司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西安市未央区人民法院[158]</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陕西星火工程管理有限公司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西安市未央区人民法院[158]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陕西星火工程管理有限公司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联系人：安孜</w:t>
      </w:r>
    </w:p>
    <w:p>
      <w:pPr>
        <w:pStyle w:val="null3"/>
      </w:pPr>
      <w:r>
        <w:rPr>
          <w:rFonts w:ascii="仿宋_GB2312" w:hAnsi="仿宋_GB2312" w:cs="仿宋_GB2312" w:eastAsia="仿宋_GB2312"/>
        </w:rPr>
        <w:t>联系电话：029-88852300</w:t>
      </w:r>
    </w:p>
    <w:p>
      <w:pPr>
        <w:pStyle w:val="null3"/>
      </w:pPr>
      <w:r>
        <w:rPr>
          <w:rFonts w:ascii="仿宋_GB2312" w:hAnsi="仿宋_GB2312" w:cs="仿宋_GB2312" w:eastAsia="仿宋_GB2312"/>
        </w:rPr>
        <w:t>地址： 西安市高新区高新路88号尚品国际C幢北12804室</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因案件数量增加，原集约送达数量无法满足需求，现需对集约送达服务进行增补。需满足的要求:按照技术参数提供法院案件材料集约送达服务。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集约送达补充服务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标的名称：集约送达补充服务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color w:val="000000"/>
                <w:shd w:fill="FFFFFF" w:val="clear"/>
              </w:rPr>
              <w:t>一、</w:t>
            </w:r>
            <w:r>
              <w:rPr>
                <w:rFonts w:ascii="仿宋_GB2312" w:hAnsi="仿宋_GB2312" w:cs="仿宋_GB2312" w:eastAsia="仿宋_GB2312"/>
                <w:sz w:val="20"/>
                <w:b/>
                <w:color w:val="000000"/>
                <w:shd w:fill="FFFFFF" w:val="clear"/>
              </w:rPr>
              <w:t>采购需求</w:t>
            </w:r>
            <w:r>
              <w:rPr>
                <w:rFonts w:ascii="仿宋_GB2312" w:hAnsi="仿宋_GB2312" w:cs="仿宋_GB2312" w:eastAsia="仿宋_GB2312"/>
                <w:sz w:val="20"/>
                <w:b/>
                <w:color w:val="000000"/>
                <w:shd w:fill="FFFFFF" w:val="clear"/>
              </w:rPr>
              <w:t>及</w:t>
            </w:r>
            <w:r>
              <w:rPr>
                <w:rFonts w:ascii="仿宋_GB2312" w:hAnsi="仿宋_GB2312" w:cs="仿宋_GB2312" w:eastAsia="仿宋_GB2312"/>
                <w:sz w:val="20"/>
                <w:b/>
                <w:color w:val="000000"/>
                <w:shd w:fill="FFFFFF" w:val="clear"/>
              </w:rPr>
              <w:t>服务内容</w:t>
            </w:r>
          </w:p>
          <w:p>
            <w:pPr>
              <w:pStyle w:val="null3"/>
              <w:ind w:firstLine="402"/>
              <w:jc w:val="both"/>
            </w:pPr>
            <w:r>
              <w:rPr>
                <w:rFonts w:ascii="仿宋_GB2312" w:hAnsi="仿宋_GB2312" w:cs="仿宋_GB2312" w:eastAsia="仿宋_GB2312"/>
                <w:sz w:val="20"/>
                <w:b/>
                <w:color w:val="000000"/>
                <w:shd w:fill="FFFFFF" w:val="clear"/>
              </w:rPr>
              <w:t>因案件数量增</w:t>
            </w:r>
            <w:r>
              <w:rPr>
                <w:rFonts w:ascii="仿宋_GB2312" w:hAnsi="仿宋_GB2312" w:cs="仿宋_GB2312" w:eastAsia="仿宋_GB2312"/>
                <w:sz w:val="20"/>
                <w:b/>
                <w:color w:val="000000"/>
                <w:shd w:fill="FFFFFF" w:val="clear"/>
              </w:rPr>
              <w:t>加</w:t>
            </w:r>
            <w:r>
              <w:rPr>
                <w:rFonts w:ascii="仿宋_GB2312" w:hAnsi="仿宋_GB2312" w:cs="仿宋_GB2312" w:eastAsia="仿宋_GB2312"/>
                <w:sz w:val="20"/>
                <w:b/>
                <w:color w:val="000000"/>
                <w:shd w:fill="FFFFFF" w:val="clear"/>
              </w:rPr>
              <w:t>，</w:t>
            </w:r>
            <w:r>
              <w:rPr>
                <w:rFonts w:ascii="仿宋_GB2312" w:hAnsi="仿宋_GB2312" w:cs="仿宋_GB2312" w:eastAsia="仿宋_GB2312"/>
                <w:sz w:val="20"/>
                <w:b/>
                <w:color w:val="000000"/>
                <w:shd w:fill="FFFFFF" w:val="clear"/>
              </w:rPr>
              <w:t>原</w:t>
            </w:r>
            <w:r>
              <w:rPr>
                <w:rFonts w:ascii="仿宋_GB2312" w:hAnsi="仿宋_GB2312" w:cs="仿宋_GB2312" w:eastAsia="仿宋_GB2312"/>
                <w:sz w:val="20"/>
                <w:b/>
                <w:color w:val="000000"/>
                <w:shd w:fill="FFFFFF" w:val="clear"/>
              </w:rPr>
              <w:t>集约送达</w:t>
            </w:r>
            <w:r>
              <w:rPr>
                <w:rFonts w:ascii="仿宋_GB2312" w:hAnsi="仿宋_GB2312" w:cs="仿宋_GB2312" w:eastAsia="仿宋_GB2312"/>
                <w:sz w:val="20"/>
                <w:b/>
                <w:color w:val="000000"/>
                <w:shd w:fill="FFFFFF" w:val="clear"/>
              </w:rPr>
              <w:t>数量</w:t>
            </w:r>
            <w:r>
              <w:rPr>
                <w:rFonts w:ascii="仿宋_GB2312" w:hAnsi="仿宋_GB2312" w:cs="仿宋_GB2312" w:eastAsia="仿宋_GB2312"/>
                <w:sz w:val="20"/>
                <w:b/>
                <w:color w:val="000000"/>
                <w:shd w:fill="FFFFFF" w:val="clear"/>
              </w:rPr>
              <w:t>无法满足需求，现需对集约送达服务进行增补</w:t>
            </w:r>
            <w:r>
              <w:rPr>
                <w:rFonts w:ascii="仿宋_GB2312" w:hAnsi="仿宋_GB2312" w:cs="仿宋_GB2312" w:eastAsia="仿宋_GB2312"/>
                <w:sz w:val="20"/>
                <w:b/>
                <w:color w:val="000000"/>
                <w:shd w:fill="FFFFFF" w:val="clear"/>
              </w:rPr>
              <w:t>。</w:t>
            </w:r>
          </w:p>
          <w:p>
            <w:pPr>
              <w:pStyle w:val="null3"/>
              <w:ind w:firstLine="402"/>
              <w:jc w:val="both"/>
            </w:pPr>
            <w:r>
              <w:rPr>
                <w:rFonts w:ascii="仿宋_GB2312" w:hAnsi="仿宋_GB2312" w:cs="仿宋_GB2312" w:eastAsia="仿宋_GB2312"/>
                <w:sz w:val="20"/>
                <w:b/>
                <w:color w:val="000000"/>
              </w:rPr>
              <w:t>1.集约化送达辅助服务</w:t>
            </w:r>
          </w:p>
          <w:p>
            <w:pPr>
              <w:pStyle w:val="null3"/>
              <w:ind w:firstLine="400"/>
              <w:jc w:val="both"/>
            </w:pPr>
            <w:r>
              <w:rPr>
                <w:rFonts w:ascii="仿宋_GB2312" w:hAnsi="仿宋_GB2312" w:cs="仿宋_GB2312" w:eastAsia="仿宋_GB2312"/>
                <w:sz w:val="20"/>
                <w:color w:val="000000"/>
              </w:rPr>
              <w:t>1.1电话送达服务：送达专员可通过送达系统进行电话通知，可以在线播放、下载送达过程中与受送达人电话沟通的录音，送达专员针对当事人已清楚、完整地听取电话内容的，通话结束后支持对本次通话进行标签记录。</w:t>
            </w:r>
          </w:p>
          <w:p>
            <w:pPr>
              <w:pStyle w:val="null3"/>
              <w:ind w:firstLine="400"/>
              <w:jc w:val="both"/>
            </w:pPr>
            <w:r>
              <w:rPr>
                <w:rFonts w:ascii="仿宋_GB2312" w:hAnsi="仿宋_GB2312" w:cs="仿宋_GB2312" w:eastAsia="仿宋_GB2312"/>
                <w:sz w:val="20"/>
                <w:color w:val="000000"/>
              </w:rPr>
              <w:t>1.2电子送达服务：</w:t>
            </w:r>
            <w:r>
              <w:rPr>
                <w:rFonts w:ascii="仿宋_GB2312" w:hAnsi="仿宋_GB2312" w:cs="仿宋_GB2312" w:eastAsia="仿宋_GB2312"/>
                <w:sz w:val="20"/>
                <w:color w:val="000000"/>
              </w:rPr>
              <w:t>完成</w:t>
            </w:r>
            <w:r>
              <w:rPr>
                <w:rFonts w:ascii="仿宋_GB2312" w:hAnsi="仿宋_GB2312" w:cs="仿宋_GB2312" w:eastAsia="仿宋_GB2312"/>
                <w:sz w:val="20"/>
                <w:color w:val="000000"/>
              </w:rPr>
              <w:t>25000件电子送达，配备完整送达服务和8名</w:t>
            </w:r>
            <w:r>
              <w:rPr>
                <w:rFonts w:ascii="仿宋_GB2312" w:hAnsi="仿宋_GB2312" w:cs="仿宋_GB2312" w:eastAsia="仿宋_GB2312"/>
                <w:sz w:val="20"/>
                <w:color w:val="000000"/>
              </w:rPr>
              <w:t>送达专员将依据电话沟通过程中确认过的电子送达地址提供送达服务。</w:t>
            </w:r>
          </w:p>
          <w:p>
            <w:pPr>
              <w:pStyle w:val="null3"/>
              <w:ind w:firstLine="402"/>
              <w:jc w:val="both"/>
            </w:pPr>
            <w:r>
              <w:rPr>
                <w:rFonts w:ascii="仿宋_GB2312" w:hAnsi="仿宋_GB2312" w:cs="仿宋_GB2312" w:eastAsia="仿宋_GB2312"/>
                <w:sz w:val="20"/>
                <w:b/>
                <w:color w:val="000000"/>
              </w:rPr>
              <w:t>2.集约化送达系统具备的功能</w:t>
            </w:r>
          </w:p>
          <w:p>
            <w:pPr>
              <w:pStyle w:val="null3"/>
              <w:ind w:firstLine="400"/>
              <w:jc w:val="both"/>
            </w:pPr>
            <w:r>
              <w:rPr>
                <w:rFonts w:ascii="仿宋_GB2312" w:hAnsi="仿宋_GB2312" w:cs="仿宋_GB2312" w:eastAsia="仿宋_GB2312"/>
                <w:sz w:val="20"/>
                <w:color w:val="000000"/>
              </w:rPr>
              <w:t>2.1电话送达功能</w:t>
            </w:r>
          </w:p>
          <w:p>
            <w:pPr>
              <w:pStyle w:val="null3"/>
              <w:ind w:firstLine="400"/>
              <w:jc w:val="both"/>
            </w:pPr>
            <w:r>
              <w:rPr>
                <w:rFonts w:ascii="仿宋_GB2312" w:hAnsi="仿宋_GB2312" w:cs="仿宋_GB2312" w:eastAsia="仿宋_GB2312"/>
                <w:sz w:val="20"/>
                <w:color w:val="000000"/>
              </w:rPr>
              <w:t>2.1.1对于推送到电话呼叫中心的工单，系统提供信息保护机制功能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通过内网外呼电话送达</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2.1.</w:t>
            </w:r>
            <w:r>
              <w:rPr>
                <w:rFonts w:ascii="仿宋_GB2312" w:hAnsi="仿宋_GB2312" w:cs="仿宋_GB2312" w:eastAsia="仿宋_GB2312"/>
                <w:sz w:val="20"/>
                <w:color w:val="000000"/>
              </w:rPr>
              <w:t>2审判系统</w:t>
            </w:r>
            <w:r>
              <w:rPr>
                <w:rFonts w:ascii="仿宋_GB2312" w:hAnsi="仿宋_GB2312" w:cs="仿宋_GB2312" w:eastAsia="仿宋_GB2312"/>
                <w:sz w:val="20"/>
                <w:color w:val="000000"/>
              </w:rPr>
              <w:t>可在线播放、下载送达过程中与受送达人电话沟通的录音。</w:t>
            </w:r>
          </w:p>
          <w:p>
            <w:pPr>
              <w:pStyle w:val="null3"/>
              <w:ind w:firstLine="400"/>
              <w:jc w:val="both"/>
            </w:pPr>
            <w:r>
              <w:rPr>
                <w:rFonts w:ascii="仿宋_GB2312" w:hAnsi="仿宋_GB2312" w:cs="仿宋_GB2312" w:eastAsia="仿宋_GB2312"/>
                <w:sz w:val="20"/>
                <w:color w:val="000000"/>
              </w:rPr>
              <w:t>2.2电子送达功能</w:t>
            </w:r>
          </w:p>
          <w:p>
            <w:pPr>
              <w:pStyle w:val="null3"/>
              <w:ind w:firstLine="400"/>
              <w:jc w:val="both"/>
            </w:pPr>
            <w:r>
              <w:rPr>
                <w:rFonts w:ascii="仿宋_GB2312" w:hAnsi="仿宋_GB2312" w:cs="仿宋_GB2312" w:eastAsia="仿宋_GB2312"/>
                <w:sz w:val="20"/>
                <w:color w:val="000000"/>
              </w:rPr>
              <w:t>2.2.1电子送达的渠道为手机短信、电子邮箱等，当事人可以分别通过手机、电子邮箱和</w:t>
            </w:r>
            <w:r>
              <w:rPr>
                <w:rFonts w:ascii="仿宋_GB2312" w:hAnsi="仿宋_GB2312" w:cs="仿宋_GB2312" w:eastAsia="仿宋_GB2312"/>
                <w:sz w:val="20"/>
                <w:color w:val="000000"/>
              </w:rPr>
              <w:t>法院公众号</w:t>
            </w:r>
            <w:r>
              <w:rPr>
                <w:rFonts w:ascii="仿宋_GB2312" w:hAnsi="仿宋_GB2312" w:cs="仿宋_GB2312" w:eastAsia="仿宋_GB2312"/>
                <w:sz w:val="20"/>
                <w:color w:val="000000"/>
              </w:rPr>
              <w:t>查看接收和下载文书。</w:t>
            </w:r>
          </w:p>
          <w:p>
            <w:pPr>
              <w:pStyle w:val="null3"/>
              <w:ind w:firstLine="400"/>
              <w:jc w:val="both"/>
            </w:pPr>
            <w:r>
              <w:rPr>
                <w:rFonts w:ascii="仿宋_GB2312" w:hAnsi="仿宋_GB2312" w:cs="仿宋_GB2312" w:eastAsia="仿宋_GB2312"/>
                <w:sz w:val="20"/>
                <w:color w:val="000000"/>
              </w:rPr>
              <w:t>2.2.2选择电话沟通中确认过的电子送达地址进行送达，系统提示“发送成功”，即该案件电子送达文书已送达至当事人手机终端。</w:t>
            </w:r>
          </w:p>
          <w:p>
            <w:pPr>
              <w:pStyle w:val="null3"/>
              <w:ind w:firstLine="400"/>
              <w:jc w:val="both"/>
            </w:pPr>
            <w:r>
              <w:rPr>
                <w:rFonts w:ascii="仿宋_GB2312" w:hAnsi="仿宋_GB2312" w:cs="仿宋_GB2312" w:eastAsia="仿宋_GB2312"/>
                <w:sz w:val="20"/>
                <w:color w:val="000000"/>
              </w:rPr>
              <w:t>2.2.3系统支持对短信发送成功的页面进行截图，记录了发送的当事人、发送渠道、</w:t>
            </w:r>
            <w:r>
              <w:rPr>
                <w:rFonts w:ascii="仿宋_GB2312" w:hAnsi="仿宋_GB2312" w:cs="仿宋_GB2312" w:eastAsia="仿宋_GB2312"/>
                <w:sz w:val="20"/>
                <w:color w:val="000000"/>
              </w:rPr>
              <w:t>发送状态、</w:t>
            </w:r>
            <w:r>
              <w:rPr>
                <w:rFonts w:ascii="仿宋_GB2312" w:hAnsi="仿宋_GB2312" w:cs="仿宋_GB2312" w:eastAsia="仿宋_GB2312"/>
                <w:sz w:val="20"/>
                <w:color w:val="000000"/>
              </w:rPr>
              <w:t>发送文书、发送时间等。</w:t>
            </w:r>
          </w:p>
          <w:p>
            <w:pPr>
              <w:pStyle w:val="null3"/>
              <w:ind w:firstLine="400"/>
              <w:jc w:val="both"/>
            </w:pPr>
            <w:r>
              <w:rPr>
                <w:rFonts w:ascii="仿宋_GB2312" w:hAnsi="仿宋_GB2312" w:cs="仿宋_GB2312" w:eastAsia="仿宋_GB2312"/>
                <w:sz w:val="20"/>
                <w:color w:val="000000"/>
              </w:rPr>
              <w:t>2.2.</w:t>
            </w:r>
            <w:r>
              <w:rPr>
                <w:rFonts w:ascii="仿宋_GB2312" w:hAnsi="仿宋_GB2312" w:cs="仿宋_GB2312" w:eastAsia="仿宋_GB2312"/>
                <w:sz w:val="20"/>
                <w:color w:val="000000"/>
              </w:rPr>
              <w:t>4</w:t>
            </w:r>
            <w:r>
              <w:rPr>
                <w:rFonts w:ascii="仿宋_GB2312" w:hAnsi="仿宋_GB2312" w:cs="仿宋_GB2312" w:eastAsia="仿宋_GB2312"/>
                <w:sz w:val="20"/>
                <w:color w:val="000000"/>
              </w:rPr>
              <w:t>电子送达发送成功后，会给当事人发送达一套短信提醒【</w:t>
            </w:r>
            <w:r>
              <w:rPr>
                <w:rFonts w:ascii="仿宋_GB2312" w:hAnsi="仿宋_GB2312" w:cs="仿宋_GB2312" w:eastAsia="仿宋_GB2312"/>
                <w:sz w:val="20"/>
                <w:color w:val="000000"/>
              </w:rPr>
              <w:t>XXXX</w:t>
            </w:r>
            <w:r>
              <w:rPr>
                <w:rFonts w:ascii="仿宋_GB2312" w:hAnsi="仿宋_GB2312" w:cs="仿宋_GB2312" w:eastAsia="仿宋_GB2312"/>
                <w:sz w:val="20"/>
                <w:color w:val="000000"/>
              </w:rPr>
              <w:t>法院</w:t>
            </w:r>
            <w:r>
              <w:rPr>
                <w:rFonts w:ascii="仿宋_GB2312" w:hAnsi="仿宋_GB2312" w:cs="仿宋_GB2312" w:eastAsia="仿宋_GB2312"/>
                <w:sz w:val="20"/>
                <w:color w:val="000000"/>
              </w:rPr>
              <w:t>】</w:t>
            </w:r>
            <w:r>
              <w:rPr>
                <w:rFonts w:ascii="仿宋_GB2312" w:hAnsi="仿宋_GB2312" w:cs="仿宋_GB2312" w:eastAsia="仿宋_GB2312"/>
                <w:sz w:val="20"/>
                <w:color w:val="000000"/>
              </w:rPr>
              <w:t>XXX</w:t>
            </w:r>
            <w:r>
              <w:rPr>
                <w:rFonts w:ascii="仿宋_GB2312" w:hAnsi="仿宋_GB2312" w:cs="仿宋_GB2312" w:eastAsia="仿宋_GB2312"/>
                <w:sz w:val="20"/>
                <w:color w:val="000000"/>
              </w:rPr>
              <w:t>你好</w:t>
            </w:r>
            <w:r>
              <w:rPr>
                <w:rFonts w:ascii="仿宋_GB2312" w:hAnsi="仿宋_GB2312" w:cs="仿宋_GB2312" w:eastAsia="仿宋_GB2312"/>
                <w:sz w:val="20"/>
                <w:color w:val="000000"/>
              </w:rPr>
              <w:t>，</w:t>
            </w:r>
            <w:r>
              <w:rPr>
                <w:rFonts w:ascii="仿宋_GB2312" w:hAnsi="仿宋_GB2312" w:cs="仿宋_GB2312" w:eastAsia="仿宋_GB2312"/>
                <w:sz w:val="20"/>
                <w:color w:val="000000"/>
              </w:rPr>
              <w:t>请查收</w:t>
            </w:r>
            <w:r>
              <w:rPr>
                <w:rFonts w:ascii="仿宋_GB2312" w:hAnsi="仿宋_GB2312" w:cs="仿宋_GB2312" w:eastAsia="仿宋_GB2312"/>
                <w:sz w:val="20"/>
                <w:color w:val="000000"/>
              </w:rPr>
              <w:t>（</w:t>
            </w:r>
            <w:r>
              <w:rPr>
                <w:rFonts w:ascii="仿宋_GB2312" w:hAnsi="仿宋_GB2312" w:cs="仿宋_GB2312" w:eastAsia="仿宋_GB2312"/>
                <w:sz w:val="20"/>
                <w:color w:val="000000"/>
              </w:rPr>
              <w:t>202</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***民初**号案件</w:t>
            </w:r>
            <w:r>
              <w:rPr>
                <w:rFonts w:ascii="仿宋_GB2312" w:hAnsi="仿宋_GB2312" w:cs="仿宋_GB2312" w:eastAsia="仿宋_GB2312"/>
                <w:sz w:val="20"/>
                <w:color w:val="000000"/>
              </w:rPr>
              <w:t>中您送的文书，点击链接查阅：</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2.2.</w:t>
            </w:r>
            <w:r>
              <w:rPr>
                <w:rFonts w:ascii="仿宋_GB2312" w:hAnsi="仿宋_GB2312" w:cs="仿宋_GB2312" w:eastAsia="仿宋_GB2312"/>
                <w:sz w:val="20"/>
                <w:color w:val="000000"/>
              </w:rPr>
              <w:t>5</w:t>
            </w:r>
            <w:r>
              <w:rPr>
                <w:rFonts w:ascii="仿宋_GB2312" w:hAnsi="仿宋_GB2312" w:cs="仿宋_GB2312" w:eastAsia="仿宋_GB2312"/>
                <w:sz w:val="20"/>
                <w:color w:val="000000"/>
              </w:rPr>
              <w:t>电子送达回证：电子送达发送成功之后，提供为当事人发送短信提醒，当事人点击查看后，将自动生成电子送达回证。电子送达回证包括案件基本信息、</w:t>
            </w:r>
            <w:r>
              <w:rPr>
                <w:rFonts w:ascii="仿宋_GB2312" w:hAnsi="仿宋_GB2312" w:cs="仿宋_GB2312" w:eastAsia="仿宋_GB2312"/>
                <w:sz w:val="20"/>
                <w:color w:val="000000"/>
              </w:rPr>
              <w:t>受送达人</w:t>
            </w:r>
            <w:r>
              <w:rPr>
                <w:rFonts w:ascii="仿宋_GB2312" w:hAnsi="仿宋_GB2312" w:cs="仿宋_GB2312" w:eastAsia="仿宋_GB2312"/>
                <w:sz w:val="20"/>
                <w:color w:val="000000"/>
              </w:rPr>
              <w:t>信息、送达渠道、点击查看记录</w:t>
            </w:r>
            <w:r>
              <w:rPr>
                <w:rFonts w:ascii="仿宋_GB2312" w:hAnsi="仿宋_GB2312" w:cs="仿宋_GB2312" w:eastAsia="仿宋_GB2312"/>
                <w:sz w:val="20"/>
                <w:color w:val="000000"/>
              </w:rPr>
              <w:t>和填发人信息</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3</w:t>
            </w:r>
            <w:r>
              <w:rPr>
                <w:rFonts w:ascii="仿宋_GB2312" w:hAnsi="仿宋_GB2312" w:cs="仿宋_GB2312" w:eastAsia="仿宋_GB2312"/>
                <w:sz w:val="20"/>
                <w:color w:val="000000"/>
              </w:rPr>
              <w:t>外出送达功能</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3</w:t>
            </w:r>
            <w:r>
              <w:rPr>
                <w:rFonts w:ascii="仿宋_GB2312" w:hAnsi="仿宋_GB2312" w:cs="仿宋_GB2312" w:eastAsia="仿宋_GB2312"/>
                <w:sz w:val="20"/>
                <w:color w:val="000000"/>
              </w:rPr>
              <w:t>.1支持法官书记员团队自行上门或者第三方上门团队使用上门送达功能。</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3</w:t>
            </w:r>
            <w:r>
              <w:rPr>
                <w:rFonts w:ascii="仿宋_GB2312" w:hAnsi="仿宋_GB2312" w:cs="仿宋_GB2312" w:eastAsia="仿宋_GB2312"/>
                <w:sz w:val="20"/>
                <w:color w:val="000000"/>
              </w:rPr>
              <w:t>.2外出送达功能包含上门拍照、录入结果等，每次送达进行任务式管理。</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4</w:t>
            </w:r>
            <w:r>
              <w:rPr>
                <w:rFonts w:ascii="仿宋_GB2312" w:hAnsi="仿宋_GB2312" w:cs="仿宋_GB2312" w:eastAsia="仿宋_GB2312"/>
                <w:sz w:val="20"/>
                <w:color w:val="000000"/>
              </w:rPr>
              <w:t>数据统计功能：全院报表、各庭报表数据统计功能：包括每日、每月完成送达的案件数量、送达人次、送达文书类型、平均送达时长</w:t>
            </w:r>
            <w:r>
              <w:rPr>
                <w:rFonts w:ascii="仿宋_GB2312" w:hAnsi="仿宋_GB2312" w:cs="仿宋_GB2312" w:eastAsia="仿宋_GB2312"/>
                <w:sz w:val="20"/>
                <w:color w:val="000000"/>
              </w:rPr>
              <w:t>、</w:t>
            </w:r>
            <w:r>
              <w:rPr>
                <w:rFonts w:ascii="仿宋_GB2312" w:hAnsi="仿宋_GB2312" w:cs="仿宋_GB2312" w:eastAsia="仿宋_GB2312"/>
                <w:sz w:val="20"/>
                <w:color w:val="000000"/>
              </w:rPr>
              <w:t>各部门完成数量等维度</w:t>
            </w:r>
            <w:r>
              <w:rPr>
                <w:rFonts w:ascii="仿宋_GB2312" w:hAnsi="仿宋_GB2312" w:cs="仿宋_GB2312" w:eastAsia="仿宋_GB2312"/>
                <w:sz w:val="20"/>
                <w:color w:val="000000"/>
              </w:rPr>
              <w:t>，以及电子送达、电话送达、邮寄送达、上门送达等送达方式的成功率等。</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5</w:t>
            </w:r>
            <w:r>
              <w:rPr>
                <w:rFonts w:ascii="仿宋_GB2312" w:hAnsi="仿宋_GB2312" w:cs="仿宋_GB2312" w:eastAsia="仿宋_GB2312"/>
                <w:sz w:val="20"/>
                <w:color w:val="000000"/>
              </w:rPr>
              <w:t>操作日志管理功能：为了实现系统安全，提供了记录所有用户的关键操作形成操作日志的服务。日志管理一方面可以记录所有操作，做到有据可查。</w:t>
            </w:r>
          </w:p>
          <w:p>
            <w:pPr>
              <w:pStyle w:val="null3"/>
              <w:ind w:firstLine="402"/>
              <w:jc w:val="both"/>
            </w:pPr>
            <w:r>
              <w:rPr>
                <w:rFonts w:ascii="仿宋_GB2312" w:hAnsi="仿宋_GB2312" w:cs="仿宋_GB2312" w:eastAsia="仿宋_GB2312"/>
                <w:sz w:val="20"/>
                <w:b/>
                <w:color w:val="000000"/>
              </w:rPr>
              <w:t>3</w:t>
            </w:r>
            <w:r>
              <w:rPr>
                <w:rFonts w:ascii="仿宋_GB2312" w:hAnsi="仿宋_GB2312" w:cs="仿宋_GB2312" w:eastAsia="仿宋_GB2312"/>
                <w:sz w:val="20"/>
                <w:b/>
                <w:color w:val="000000"/>
              </w:rPr>
              <w:t>．集约化送达成效</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.1电子送达指标要求：</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原告类平均电子送达成功率指标应不低于</w:t>
            </w:r>
            <w:r>
              <w:rPr>
                <w:rFonts w:ascii="仿宋_GB2312" w:hAnsi="仿宋_GB2312" w:cs="仿宋_GB2312" w:eastAsia="仿宋_GB2312"/>
                <w:sz w:val="20"/>
                <w:color w:val="000000"/>
              </w:rPr>
              <w:t>70%（原告类电子送达成功率=原告类文书电子送达成功数/原告类文书电子送达完结数）；</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被告类平均电子送达成功率指标应不低于</w:t>
            </w:r>
            <w:r>
              <w:rPr>
                <w:rFonts w:ascii="仿宋_GB2312" w:hAnsi="仿宋_GB2312" w:cs="仿宋_GB2312" w:eastAsia="仿宋_GB2312"/>
                <w:sz w:val="20"/>
                <w:color w:val="000000"/>
              </w:rPr>
              <w:t>60%（被告类文书电子送达成功率=被告电子送达成功数/被告电子送达完结数）；</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案件平均电子送达时长不超过</w:t>
            </w:r>
            <w:r>
              <w:rPr>
                <w:rFonts w:ascii="仿宋_GB2312" w:hAnsi="仿宋_GB2312" w:cs="仿宋_GB2312" w:eastAsia="仿宋_GB2312"/>
                <w:sz w:val="20"/>
                <w:color w:val="000000"/>
              </w:rPr>
              <w:t>5天</w:t>
            </w:r>
            <w:r>
              <w:rPr>
                <w:rFonts w:ascii="仿宋_GB2312" w:hAnsi="仿宋_GB2312" w:cs="仿宋_GB2312" w:eastAsia="仿宋_GB2312"/>
                <w:sz w:val="20"/>
                <w:color w:val="000000"/>
              </w:rPr>
              <w:t>（在电子送达阶段完结的任务总送达时长</w:t>
            </w:r>
            <w:r>
              <w:rPr>
                <w:rFonts w:ascii="仿宋_GB2312" w:hAnsi="仿宋_GB2312" w:cs="仿宋_GB2312" w:eastAsia="仿宋_GB2312"/>
                <w:sz w:val="20"/>
                <w:color w:val="000000"/>
              </w:rPr>
              <w:t>/该阶段完结任务数）</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.2电子送达服务规范：可根据法院</w:t>
            </w:r>
            <w:r>
              <w:rPr>
                <w:rFonts w:ascii="仿宋_GB2312" w:hAnsi="仿宋_GB2312" w:cs="仿宋_GB2312" w:eastAsia="仿宋_GB2312"/>
                <w:sz w:val="20"/>
                <w:color w:val="000000"/>
              </w:rPr>
              <w:t>要求送达</w:t>
            </w:r>
            <w:r>
              <w:rPr>
                <w:rFonts w:ascii="仿宋_GB2312" w:hAnsi="仿宋_GB2312" w:cs="仿宋_GB2312" w:eastAsia="仿宋_GB2312"/>
                <w:sz w:val="20"/>
                <w:color w:val="000000"/>
              </w:rPr>
              <w:t>天数跟进，最多不超过</w:t>
            </w:r>
            <w:r>
              <w:rPr>
                <w:rFonts w:ascii="仿宋_GB2312" w:hAnsi="仿宋_GB2312" w:cs="仿宋_GB2312" w:eastAsia="仿宋_GB2312"/>
                <w:sz w:val="20"/>
                <w:color w:val="000000"/>
              </w:rPr>
              <w:t>3天内拨打5通，7日内开庭、速裁案件按1天3通跟进。</w:t>
            </w:r>
          </w:p>
          <w:p>
            <w:pPr>
              <w:pStyle w:val="null3"/>
              <w:ind w:firstLine="402"/>
              <w:jc w:val="both"/>
            </w:pPr>
            <w:r>
              <w:rPr>
                <w:rFonts w:ascii="仿宋_GB2312" w:hAnsi="仿宋_GB2312" w:cs="仿宋_GB2312" w:eastAsia="仿宋_GB2312"/>
                <w:sz w:val="20"/>
                <w:b/>
                <w:color w:val="000000"/>
              </w:rPr>
              <w:t>4.</w:t>
            </w:r>
            <w:r>
              <w:rPr>
                <w:rFonts w:ascii="仿宋_GB2312" w:hAnsi="仿宋_GB2312" w:cs="仿宋_GB2312" w:eastAsia="仿宋_GB2312"/>
                <w:sz w:val="20"/>
                <w:b/>
                <w:color w:val="000000"/>
              </w:rPr>
              <w:t>硬件部署服务和技术运维服务</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.1提供统一电话送达专属号码实施电话送达。</w:t>
            </w:r>
          </w:p>
          <w:p>
            <w:pPr>
              <w:pStyle w:val="null3"/>
              <w:ind w:firstLine="400"/>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结合功能使用的实际情况，不定期升级和完善系统功能，针对迭代后的产品功能进行软</w:t>
            </w:r>
            <w:r>
              <w:rPr>
                <w:rFonts w:ascii="仿宋_GB2312" w:hAnsi="仿宋_GB2312" w:cs="仿宋_GB2312" w:eastAsia="仿宋_GB2312"/>
                <w:sz w:val="20"/>
                <w:color w:val="000000"/>
              </w:rPr>
              <w:t>件升级服务等。</w:t>
            </w:r>
          </w:p>
          <w:p>
            <w:pPr>
              <w:pStyle w:val="null3"/>
              <w:ind w:firstLine="400"/>
              <w:jc w:val="both"/>
            </w:pPr>
            <w:r>
              <w:rPr>
                <w:rFonts w:ascii="仿宋_GB2312" w:hAnsi="仿宋_GB2312" w:cs="仿宋_GB2312" w:eastAsia="仿宋_GB2312"/>
                <w:sz w:val="20"/>
                <w:color w:val="000000"/>
              </w:rPr>
              <w:t>4.3配备专职的客户服务经理，提供5*8小时系统使用指导和疑难问题解决服务，对于不能及时解决的问题，应在24小时内反馈解决方案。</w:t>
            </w:r>
          </w:p>
          <w:p>
            <w:pPr>
              <w:pStyle w:val="null3"/>
              <w:ind w:firstLine="402"/>
              <w:jc w:val="both"/>
            </w:pPr>
            <w:r>
              <w:rPr>
                <w:rFonts w:ascii="仿宋_GB2312" w:hAnsi="仿宋_GB2312" w:cs="仿宋_GB2312" w:eastAsia="仿宋_GB2312"/>
                <w:sz w:val="20"/>
                <w:b/>
                <w:color w:val="000000"/>
              </w:rPr>
              <w:t>二、其他要求</w:t>
            </w:r>
          </w:p>
          <w:p>
            <w:pPr>
              <w:pStyle w:val="null3"/>
              <w:ind w:firstLine="40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供应商根据</w:t>
            </w:r>
            <w:r>
              <w:rPr>
                <w:rFonts w:ascii="仿宋_GB2312" w:hAnsi="仿宋_GB2312" w:cs="仿宋_GB2312" w:eastAsia="仿宋_GB2312"/>
                <w:sz w:val="20"/>
                <w:color w:val="000000"/>
              </w:rPr>
              <w:t>本项目采购需求</w:t>
            </w:r>
            <w:r>
              <w:rPr>
                <w:rFonts w:ascii="仿宋_GB2312" w:hAnsi="仿宋_GB2312" w:cs="仿宋_GB2312" w:eastAsia="仿宋_GB2312"/>
                <w:sz w:val="20"/>
                <w:color w:val="000000"/>
              </w:rPr>
              <w:t>提供相关培训计划方案，并列出培训的具体内容及方式，包括培训人数、培训时间、培训内容等。</w:t>
            </w:r>
          </w:p>
          <w:p>
            <w:pPr>
              <w:pStyle w:val="null3"/>
            </w:pPr>
            <w:r>
              <w:rPr>
                <w:rFonts w:ascii="仿宋_GB2312" w:hAnsi="仿宋_GB2312" w:cs="仿宋_GB2312" w:eastAsia="仿宋_GB2312"/>
                <w:sz w:val="20"/>
                <w:color w:val="000000"/>
              </w:rPr>
              <w:t xml:space="preserve">       2.</w:t>
            </w:r>
            <w:r>
              <w:rPr>
                <w:rFonts w:ascii="仿宋_GB2312" w:hAnsi="仿宋_GB2312" w:cs="仿宋_GB2312" w:eastAsia="仿宋_GB2312"/>
                <w:sz w:val="20"/>
                <w:color w:val="000000"/>
              </w:rPr>
              <w:t>供应商针对本项目做好风险管理，建立快速响应机制，有效应对突发情况</w:t>
            </w:r>
            <w:r>
              <w:rPr>
                <w:rFonts w:ascii="仿宋_GB2312" w:hAnsi="仿宋_GB2312" w:cs="仿宋_GB2312" w:eastAsia="仿宋_GB2312"/>
                <w:sz w:val="20"/>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合同签订后，乙方向甲方开具合同总价50%的发票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2025年12月31日前合同款一次性付清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法定代表人直接参加磋商的须出具法定代表人身份证（须与营业执照上信息一致），法定代表人授权代表参加磋商的须出具法定代表人授权书及授权代表身份证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偏离表.docx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按竞争性磋商文件格式要求加盖了供应商公章和有法定代表人或其授权代表签字或加盖人名章。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磋商响应报价表.docx 响应承诺书.docx 供应商应提交的相关资格证明材料.docx 中小企业声明函.docx 残疾人福利性单位声明函 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供应商报价是固定金额，符合市场价格规律，未低于成本恶意竞争。且未超过预算金额（磋商文件有最高限价的，报价未超过最高限价）；</w:t>
            </w:r>
          </w:p>
        </w:tc>
        <w:tc>
          <w:tcPr>
            <w:tcW w:type="dxa" w:w="1661"/>
          </w:tcPr>
          <w:p>
            <w:pPr>
              <w:pStyle w:val="null3"/>
            </w:pPr>
            <w:r>
              <w:rPr>
                <w:rFonts w:ascii="仿宋_GB2312" w:hAnsi="仿宋_GB2312" w:cs="仿宋_GB2312" w:eastAsia="仿宋_GB2312"/>
              </w:rPr>
              <w:t>响应文件封面 磋商响应报价表.docx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磋商响应报价表.docx 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响应文件封面 磋商响应报价表.docx 响应承诺书.docx 偏离表.docx 标的清单 报价表 响应函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 其中响应文件有效期：有效期满足磋商文件要求的； 响应文件格式：响应文件按规定的格式填写，内容完整且关键字迹清晰； 备选方案：供应商不得提交两份或者多份内容不同的响应文件，或者在同一份响应文件中对同一磋商项目有两个或者多个报价； 响应文件内容：供应商提供的服务无实质性遗漏； 技术响应：符合“采购需求”要求，保证服务质量且无重大偏差； 服务期和服务地点：满足磋商文件要求； 付款方式：磋商文件不允许偏差时，响应文件无负偏差；</w:t>
            </w:r>
          </w:p>
        </w:tc>
        <w:tc>
          <w:tcPr>
            <w:tcW w:type="dxa" w:w="1661"/>
          </w:tcPr>
          <w:p>
            <w:pPr>
              <w:pStyle w:val="null3"/>
            </w:pPr>
            <w:r>
              <w:rPr>
                <w:rFonts w:ascii="仿宋_GB2312" w:hAnsi="仿宋_GB2312" w:cs="仿宋_GB2312" w:eastAsia="仿宋_GB2312"/>
              </w:rPr>
              <w:t>响应文件封面 磋商响应报价表.docx 响应承诺书.docx 供应商应提交的相关资格证明材料.docx 中小企业声明函.docx 残疾人福利性单位声明函 偏离表.docx 标的清单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针对本项目的理解和认识（其中包括但不限于对基本情况分析、对项目背景的研判等）（5分）。 对本项目提供理解和认识，根据内容深入性、可实施性、针对性进行评审：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针对本项目提供整体服务方案（其中包括但不限于服务方案、人员分工明确等）（5分）。 对本项目提供整体服务方案，根据内容深入性、可实施性、针对性进行评审：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针对本项目的业务流程管理方案（其中包括但不限于分别针对各种送达服务流程、提供流程图等）（5分）。 对本项目提供业务流程管理方案，根据内容深入性、可实施性、针对性进行评审：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针对本项目的辅助服务（其中包括但不限于电话送达服务；电子送达服务等）（5分）。 对本项目提供辅助服务，根据内容深入性、可实施性、针对性进行评审：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针对本项目集约化送达系统系统需具备的功能（其中包括但不限于电话送达功能；电子送达功能；外出送达功能；数据统计功能；操作日志管理功能等）（10分）。 对本项目集约化送达系统系统需具备的功能进行描述，根据内容深入性、可实施性、针对性进行评审： ①内容条理清晰、切实可行得10分； ②内容基本合理、具备一定的可行性得7分； ③内容存在明显不足得5分；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针对本项目的进度安排（其中包括但不限于本项目各阶段时间节点、进度保障措施、应急处理能力等）（5分）。 对本项目提供进度安排，根据内容深入性、可实施性、针对性进行评审：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实施保障措施</w:t>
            </w:r>
          </w:p>
        </w:tc>
        <w:tc>
          <w:tcPr>
            <w:tcW w:type="dxa" w:w="2492"/>
          </w:tcPr>
          <w:p>
            <w:pPr>
              <w:pStyle w:val="null3"/>
            </w:pPr>
            <w:r>
              <w:rPr>
                <w:rFonts w:ascii="仿宋_GB2312" w:hAnsi="仿宋_GB2312" w:cs="仿宋_GB2312" w:eastAsia="仿宋_GB2312"/>
              </w:rPr>
              <w:t>针对本项目的实施保障措施（其中包括但不限于人员保障措施、时效保障措施、服务保障措施等）（5分）。 对本项目提供实施保障措施，根据内容深入性、可实施性、针对性进行评审：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针对本项目质量保障措施（其中包括但不限于质量控制目标、质量控制措施、质检方案等）（5分）。 对本项目提供质量保障措施，根据内容深入性、可实施性、针对性进行评审：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人员配置1</w:t>
            </w:r>
          </w:p>
        </w:tc>
        <w:tc>
          <w:tcPr>
            <w:tcW w:type="dxa" w:w="2492"/>
          </w:tcPr>
          <w:p>
            <w:pPr>
              <w:pStyle w:val="null3"/>
            </w:pPr>
            <w:r>
              <w:rPr>
                <w:rFonts w:ascii="仿宋_GB2312" w:hAnsi="仿宋_GB2312" w:cs="仿宋_GB2312" w:eastAsia="仿宋_GB2312"/>
              </w:rPr>
              <w:t>项目经理：拟任项目经理具有高等教育法学相关专业本科学历以上，得1分，不提供不得分。拟任项目经理具有一年以上法律相关经验及以上，得1分，不提供不得分。（证明材料：项目经理需提供毕业证书或法律执照有效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人员配置2</w:t>
            </w:r>
          </w:p>
        </w:tc>
        <w:tc>
          <w:tcPr>
            <w:tcW w:type="dxa" w:w="2492"/>
          </w:tcPr>
          <w:p>
            <w:pPr>
              <w:pStyle w:val="null3"/>
            </w:pPr>
            <w:r>
              <w:rPr>
                <w:rFonts w:ascii="仿宋_GB2312" w:hAnsi="仿宋_GB2312" w:cs="仿宋_GB2312" w:eastAsia="仿宋_GB2312"/>
              </w:rPr>
              <w:t>项目成员：拟任项目成员中具有法学背景人员的，每提供1个得1分，最高得3分，不提供不得分。（证明材料：需提供法学相关专业毕业证书或法律执照有效复印件）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人员配置3</w:t>
            </w:r>
          </w:p>
        </w:tc>
        <w:tc>
          <w:tcPr>
            <w:tcW w:type="dxa" w:w="2492"/>
          </w:tcPr>
          <w:p>
            <w:pPr>
              <w:pStyle w:val="null3"/>
            </w:pPr>
            <w:r>
              <w:rPr>
                <w:rFonts w:ascii="仿宋_GB2312" w:hAnsi="仿宋_GB2312" w:cs="仿宋_GB2312" w:eastAsia="仿宋_GB2312"/>
              </w:rPr>
              <w:t>人员配置方案（其中包括但不限于服务团队架构设计，人员招募方案，人员管理制度等）（5分） 对本项目提供人员配置方案，根据内容深入性、可实施性、针对性进行评审：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针对本项目的培训计划（其中包括但不限于列出培训人数、培训时间、培训内容等）（5分） 对本项目提供培训计划，根据内容深入性、可实施性、针对性进行评审：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重难点分析及应对措施</w:t>
            </w:r>
          </w:p>
        </w:tc>
        <w:tc>
          <w:tcPr>
            <w:tcW w:type="dxa" w:w="2492"/>
          </w:tcPr>
          <w:p>
            <w:pPr>
              <w:pStyle w:val="null3"/>
            </w:pPr>
            <w:r>
              <w:rPr>
                <w:rFonts w:ascii="仿宋_GB2312" w:hAnsi="仿宋_GB2312" w:cs="仿宋_GB2312" w:eastAsia="仿宋_GB2312"/>
              </w:rPr>
              <w:t>针对本项目的重难点分析及应对措施（其中包括但不限于重点难点分析、具体应对措施等）（5分）。 对本项目提供重难点分析及应对措施，根据内容深入性、可实施性、针对性进行评审：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针对本项目的应急预案（其中包括但不限于供应商提供的建立系统故障的快速响应机制和应对业务量突增的紧急处理机制方案。）（5分） 对本项目提供应急预案，根据内容深入性、可实施性、针对性进行评审：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为本项目提出合理化建议（其中包括但不限于提高项目管理水平、有助于工作更加顺利进行等）（5分） 对本项目提供合理化建议，根据内容深入性、可实施性、针对性进行评审：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有利于本项目实施的服务承诺（其中包括但不限于质量保障承诺、进度保障承诺、响应时间承诺等）（5分） 对本项目提供服务承诺，根据内容深入性、可实施性、针对性进行评审：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供应商提供近三年（2022年11月1日至今）同类项目业绩，响应文件中附有其业绩证明材料，业绩以合同文件或中标（成交）通知书为依据，每提供一个计2分，满分10分。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 本项目专门面向中小企业采购、不再给予价格优惠。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详见附件：响应承诺书.docx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