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478C0">
      <w:pPr>
        <w:spacing w:line="360" w:lineRule="auto"/>
        <w:jc w:val="center"/>
        <w:outlineLvl w:val="0"/>
        <w:rPr>
          <w:rStyle w:val="10"/>
          <w:rFonts w:ascii="Times New Roman" w:eastAsia="仿宋"/>
          <w:szCs w:val="32"/>
        </w:rPr>
      </w:pPr>
      <w:r>
        <w:rPr>
          <w:rStyle w:val="10"/>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10"/>
          <w:rFonts w:ascii="Times New Roman" w:eastAsia="仿宋"/>
          <w:b/>
          <w:bCs w:val="0"/>
          <w:color w:val="auto"/>
          <w:sz w:val="32"/>
          <w:szCs w:val="32"/>
          <w:highlight w:val="none"/>
        </w:rPr>
        <w:t>文</w:t>
      </w:r>
      <w:bookmarkStart w:id="5" w:name="_GoBack"/>
      <w:bookmarkEnd w:id="5"/>
      <w:r>
        <w:rPr>
          <w:rStyle w:val="10"/>
          <w:rFonts w:ascii="Times New Roman" w:eastAsia="仿宋"/>
          <w:b/>
          <w:bCs w:val="0"/>
          <w:color w:val="auto"/>
          <w:sz w:val="32"/>
          <w:szCs w:val="32"/>
          <w:highlight w:val="none"/>
        </w:rPr>
        <w:t>本</w:t>
      </w:r>
      <w:bookmarkEnd w:id="1"/>
      <w:bookmarkEnd w:id="2"/>
    </w:p>
    <w:tbl>
      <w:tblPr>
        <w:tblStyle w:val="8"/>
        <w:tblpPr w:leftFromText="180" w:rightFromText="180" w:vertAnchor="text" w:horzAnchor="page" w:tblpX="8555" w:tblpY="5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tblGrid>
      <w:tr w14:paraId="2C31C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376" w:type="dxa"/>
          </w:tcPr>
          <w:p w14:paraId="77EC80BF">
            <w:pPr>
              <w:ind w:firstLine="201" w:firstLineChars="100"/>
              <w:rPr>
                <w:rFonts w:ascii="黑体" w:eastAsia="黑体"/>
                <w:b/>
                <w:sz w:val="18"/>
                <w:szCs w:val="18"/>
              </w:rPr>
            </w:pPr>
            <w:r>
              <w:rPr>
                <w:rFonts w:hint="eastAsia" w:ascii="黑体" w:eastAsia="黑体"/>
                <w:b/>
                <w:sz w:val="20"/>
                <w:szCs w:val="20"/>
              </w:rPr>
              <w:t>医疗设备</w:t>
            </w:r>
          </w:p>
        </w:tc>
      </w:tr>
    </w:tbl>
    <w:p w14:paraId="4FCE2F77">
      <w:pPr>
        <w:jc w:val="center"/>
        <w:rPr>
          <w:rFonts w:ascii="黑体" w:eastAsia="黑体"/>
          <w:sz w:val="52"/>
          <w:szCs w:val="52"/>
        </w:rPr>
      </w:pPr>
    </w:p>
    <w:p w14:paraId="2EB87061">
      <w:pPr>
        <w:ind w:firstLine="2120" w:firstLineChars="400"/>
        <w:rPr>
          <w:rFonts w:hint="eastAsia" w:ascii="黑体" w:hAnsi="宋体" w:eastAsia="黑体"/>
          <w:b/>
          <w:spacing w:val="4"/>
          <w:sz w:val="52"/>
          <w:szCs w:val="48"/>
        </w:rPr>
      </w:pPr>
      <w:r>
        <w:rPr>
          <w:rFonts w:hint="eastAsia" w:ascii="黑体" w:hAnsi="宋体" w:eastAsia="黑体"/>
          <w:b/>
          <w:spacing w:val="4"/>
          <w:sz w:val="52"/>
          <w:szCs w:val="48"/>
        </w:rPr>
        <w:t>西安市中心医院货物类</w:t>
      </w:r>
    </w:p>
    <w:p w14:paraId="636C8300">
      <w:pPr>
        <w:ind w:firstLine="3233" w:firstLineChars="350"/>
        <w:rPr>
          <w:rFonts w:eastAsia="黑体"/>
          <w:b/>
          <w:spacing w:val="-20"/>
          <w:sz w:val="96"/>
          <w:szCs w:val="58"/>
        </w:rPr>
      </w:pPr>
    </w:p>
    <w:p w14:paraId="79B0F2A6">
      <w:pPr>
        <w:ind w:firstLine="3614" w:firstLineChars="500"/>
        <w:rPr>
          <w:rFonts w:ascii="黑体" w:eastAsia="黑体"/>
          <w:b/>
          <w:sz w:val="72"/>
          <w:szCs w:val="72"/>
        </w:rPr>
      </w:pPr>
      <w:r>
        <w:rPr>
          <w:rFonts w:hint="eastAsia" w:ascii="黑体" w:eastAsia="黑体"/>
          <w:b/>
          <w:sz w:val="72"/>
          <w:szCs w:val="72"/>
        </w:rPr>
        <w:t>合  同</w:t>
      </w:r>
    </w:p>
    <w:p w14:paraId="18D41642">
      <w:pPr>
        <w:jc w:val="center"/>
        <w:rPr>
          <w:rFonts w:ascii="黑体" w:eastAsia="黑体"/>
          <w:b/>
          <w:sz w:val="72"/>
          <w:szCs w:val="72"/>
        </w:rPr>
      </w:pPr>
    </w:p>
    <w:p w14:paraId="1065544E">
      <w:pPr>
        <w:ind w:firstLine="3080" w:firstLineChars="1100"/>
        <w:rPr>
          <w:rFonts w:ascii="黑体" w:eastAsia="黑体"/>
          <w:sz w:val="28"/>
          <w:szCs w:val="30"/>
        </w:rPr>
      </w:pPr>
    </w:p>
    <w:p w14:paraId="3EDFC448">
      <w:pPr>
        <w:ind w:firstLine="1120" w:firstLineChars="400"/>
        <w:rPr>
          <w:rFonts w:hint="eastAsia" w:ascii="黑体" w:hAnsi="黑体" w:eastAsia="黑体" w:cs="黑体"/>
          <w:sz w:val="28"/>
          <w:szCs w:val="28"/>
          <w:u w:val="single"/>
        </w:rPr>
      </w:pPr>
      <w:bookmarkStart w:id="3" w:name="_Hlk205215532"/>
      <w:r>
        <w:rPr>
          <w:rFonts w:hint="eastAsia" w:ascii="黑体" w:eastAsia="黑体"/>
          <w:sz w:val="28"/>
          <w:szCs w:val="30"/>
        </w:rPr>
        <w:t>项目名称：</w:t>
      </w:r>
      <w:r>
        <w:rPr>
          <w:rFonts w:ascii="黑体" w:eastAsia="黑体"/>
          <w:sz w:val="28"/>
          <w:szCs w:val="30"/>
        </w:rPr>
        <w:t xml:space="preserve"> </w:t>
      </w:r>
      <w:r>
        <w:rPr>
          <w:rFonts w:ascii="黑体" w:eastAsia="黑体"/>
          <w:sz w:val="28"/>
          <w:szCs w:val="30"/>
          <w:u w:val="single"/>
        </w:rPr>
        <w:t xml:space="preserve">                                 </w:t>
      </w:r>
      <w:r>
        <w:rPr>
          <w:rFonts w:ascii="黑体" w:hAnsi="黑体" w:eastAsia="黑体" w:cs="黑体"/>
          <w:sz w:val="28"/>
          <w:szCs w:val="28"/>
          <w:u w:val="single"/>
        </w:rPr>
        <w:t xml:space="preserve"> </w:t>
      </w:r>
    </w:p>
    <w:p w14:paraId="1FC0BF9C">
      <w:pPr>
        <w:ind w:firstLine="1120" w:firstLineChars="400"/>
        <w:rPr>
          <w:rFonts w:hint="eastAsia" w:ascii="黑体" w:hAnsi="黑体" w:eastAsia="黑体" w:cs="黑体"/>
          <w:sz w:val="28"/>
          <w:szCs w:val="28"/>
          <w:u w:val="single"/>
        </w:rPr>
      </w:pPr>
      <w:r>
        <w:rPr>
          <w:rFonts w:hint="eastAsia" w:ascii="黑体" w:hAnsi="黑体" w:eastAsia="黑体" w:cs="黑体"/>
          <w:sz w:val="28"/>
          <w:szCs w:val="28"/>
        </w:rPr>
        <w:t>项目编号：</w:t>
      </w:r>
      <w:r>
        <w:rPr>
          <w:rFonts w:ascii="黑体" w:hAnsi="黑体" w:eastAsia="黑体" w:cs="黑体"/>
          <w:sz w:val="28"/>
          <w:szCs w:val="28"/>
        </w:rPr>
        <w:t xml:space="preserve"> </w:t>
      </w:r>
      <w:r>
        <w:rPr>
          <w:rFonts w:ascii="黑体" w:hAnsi="黑体" w:eastAsia="黑体" w:cs="黑体"/>
          <w:sz w:val="28"/>
          <w:szCs w:val="28"/>
          <w:u w:val="single"/>
        </w:rPr>
        <w:t xml:space="preserve">                                  </w:t>
      </w:r>
    </w:p>
    <w:p w14:paraId="5F51842D">
      <w:pPr>
        <w:jc w:val="center"/>
        <w:rPr>
          <w:rFonts w:ascii="黑体" w:eastAsia="黑体"/>
          <w:sz w:val="28"/>
          <w:szCs w:val="30"/>
        </w:rPr>
      </w:pPr>
    </w:p>
    <w:p w14:paraId="5E13DA6C">
      <w:pPr>
        <w:jc w:val="center"/>
        <w:rPr>
          <w:rFonts w:ascii="黑体" w:eastAsia="黑体"/>
          <w:sz w:val="28"/>
          <w:szCs w:val="30"/>
        </w:rPr>
      </w:pPr>
    </w:p>
    <w:p w14:paraId="5F9F98E3">
      <w:pPr>
        <w:jc w:val="center"/>
        <w:rPr>
          <w:rFonts w:ascii="黑体" w:eastAsia="黑体"/>
          <w:sz w:val="28"/>
          <w:szCs w:val="30"/>
        </w:rPr>
      </w:pPr>
    </w:p>
    <w:p w14:paraId="44CED23A">
      <w:pPr>
        <w:jc w:val="center"/>
        <w:rPr>
          <w:rFonts w:ascii="黑体" w:eastAsia="黑体"/>
          <w:sz w:val="28"/>
          <w:szCs w:val="30"/>
        </w:rPr>
      </w:pPr>
    </w:p>
    <w:p w14:paraId="77361A6B">
      <w:pPr>
        <w:jc w:val="center"/>
        <w:rPr>
          <w:rFonts w:ascii="黑体" w:eastAsia="黑体"/>
          <w:sz w:val="28"/>
          <w:szCs w:val="30"/>
        </w:rPr>
      </w:pPr>
    </w:p>
    <w:p w14:paraId="7860E173">
      <w:pPr>
        <w:jc w:val="center"/>
        <w:rPr>
          <w:rFonts w:ascii="黑体" w:eastAsia="黑体"/>
          <w:sz w:val="28"/>
          <w:szCs w:val="30"/>
        </w:rPr>
      </w:pPr>
    </w:p>
    <w:p w14:paraId="110D08E2">
      <w:pPr>
        <w:ind w:firstLine="2240" w:firstLineChars="700"/>
        <w:rPr>
          <w:rFonts w:hint="eastAsia" w:ascii="黑体" w:hAnsi="宋体" w:eastAsia="黑体"/>
          <w:sz w:val="32"/>
          <w:szCs w:val="32"/>
        </w:rPr>
      </w:pPr>
      <w:r>
        <w:rPr>
          <w:rFonts w:hint="eastAsia" w:ascii="黑体" w:hAnsi="宋体" w:eastAsia="黑体"/>
          <w:sz w:val="32"/>
          <w:szCs w:val="32"/>
        </w:rPr>
        <w:t>甲  方：西安市中心医院</w:t>
      </w:r>
    </w:p>
    <w:p w14:paraId="3A1CD862">
      <w:pPr>
        <w:tabs>
          <w:tab w:val="left" w:pos="480"/>
        </w:tabs>
        <w:ind w:firstLine="2240" w:firstLineChars="700"/>
        <w:rPr>
          <w:rFonts w:hint="eastAsia" w:ascii="黑体" w:hAnsi="黑体" w:eastAsia="黑体" w:cs="黑体"/>
          <w:sz w:val="32"/>
          <w:szCs w:val="32"/>
        </w:rPr>
      </w:pPr>
      <w:r>
        <w:rPr>
          <w:rFonts w:hint="eastAsia" w:ascii="黑体" w:hAnsi="宋体" w:eastAsia="黑体"/>
          <w:sz w:val="32"/>
          <w:szCs w:val="32"/>
        </w:rPr>
        <w:t>乙  方：</w:t>
      </w:r>
      <w:r>
        <w:rPr>
          <w:rFonts w:ascii="黑体" w:hAnsi="宋体" w:eastAsia="黑体"/>
          <w:sz w:val="32"/>
          <w:szCs w:val="32"/>
        </w:rPr>
        <w:t xml:space="preserve">                          </w:t>
      </w:r>
    </w:p>
    <w:p w14:paraId="21D8E236">
      <w:pPr>
        <w:rPr>
          <w:rFonts w:hint="eastAsia" w:ascii="黑体" w:hAnsi="宋体" w:eastAsia="黑体"/>
          <w:sz w:val="32"/>
          <w:szCs w:val="32"/>
        </w:rPr>
      </w:pPr>
    </w:p>
    <w:p w14:paraId="26C7F70C">
      <w:pPr>
        <w:ind w:firstLine="3200" w:firstLineChars="1000"/>
        <w:rPr>
          <w:rFonts w:eastAsia="等线"/>
        </w:rPr>
      </w:pPr>
      <w:r>
        <w:rPr>
          <w:rFonts w:hint="eastAsia" w:ascii="黑体" w:hAnsi="宋体" w:eastAsia="黑体"/>
          <w:sz w:val="32"/>
          <w:szCs w:val="32"/>
        </w:rPr>
        <w:t>二O二</w:t>
      </w:r>
      <w:r>
        <w:rPr>
          <w:rFonts w:ascii="黑体" w:hAnsi="宋体" w:eastAsia="黑体"/>
          <w:sz w:val="32"/>
          <w:szCs w:val="32"/>
        </w:rPr>
        <w:t xml:space="preserve"> </w:t>
      </w:r>
      <w:r>
        <w:rPr>
          <w:rFonts w:hint="eastAsia" w:ascii="黑体" w:hAnsi="宋体" w:eastAsia="黑体"/>
          <w:sz w:val="32"/>
          <w:szCs w:val="32"/>
        </w:rPr>
        <w:t>五 年   月</w:t>
      </w:r>
      <w:bookmarkEnd w:id="3"/>
    </w:p>
    <w:p w14:paraId="24F30DE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甲方：西安市中心医院 </w:t>
      </w:r>
    </w:p>
    <w:p w14:paraId="7A2CAD4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w:t>
      </w:r>
    </w:p>
    <w:p w14:paraId="04ED8AE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就甲方所需货物，按照政府采购程序组织招标，确定乙方为成交供应商。依据《中华人民共和国政府采购法》、《中华人民共和国招标投标法》、《中华人民共和国民法典》，经甲、乙双方协商、确认，达成如下条款。</w:t>
      </w:r>
    </w:p>
    <w:p w14:paraId="1919CCC7">
      <w:pPr>
        <w:tabs>
          <w:tab w:val="left" w:pos="480"/>
        </w:tabs>
        <w:spacing w:line="360" w:lineRule="auto"/>
        <w:rPr>
          <w:rFonts w:hint="eastAsia" w:ascii="仿宋" w:hAnsi="仿宋" w:eastAsia="仿宋" w:cs="仿宋"/>
          <w:b/>
          <w:bCs/>
          <w:sz w:val="24"/>
          <w:lang w:val="zh-CN"/>
        </w:rPr>
      </w:pPr>
      <w:r>
        <w:rPr>
          <w:rFonts w:hint="eastAsia" w:ascii="仿宋" w:hAnsi="仿宋" w:eastAsia="仿宋" w:cs="仿宋"/>
          <w:b/>
          <w:bCs/>
          <w:sz w:val="24"/>
          <w:lang w:val="zh-CN"/>
        </w:rPr>
        <w:t>一、合同标的货物内容及数量</w:t>
      </w:r>
    </w:p>
    <w:tbl>
      <w:tblPr>
        <w:tblStyle w:val="8"/>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268"/>
        <w:gridCol w:w="1182"/>
        <w:gridCol w:w="1226"/>
        <w:gridCol w:w="1073"/>
        <w:gridCol w:w="920"/>
        <w:gridCol w:w="1154"/>
        <w:gridCol w:w="1096"/>
        <w:gridCol w:w="960"/>
      </w:tblGrid>
      <w:tr w14:paraId="10DFF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88" w:type="dxa"/>
            <w:vAlign w:val="center"/>
          </w:tcPr>
          <w:p w14:paraId="641844B7">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1268" w:type="dxa"/>
            <w:vAlign w:val="center"/>
          </w:tcPr>
          <w:p w14:paraId="2BE98238">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设备名称</w:t>
            </w:r>
          </w:p>
        </w:tc>
        <w:tc>
          <w:tcPr>
            <w:tcW w:w="1182" w:type="dxa"/>
            <w:vAlign w:val="center"/>
          </w:tcPr>
          <w:p w14:paraId="1B931F05">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规格参数</w:t>
            </w:r>
          </w:p>
        </w:tc>
        <w:tc>
          <w:tcPr>
            <w:tcW w:w="1226" w:type="dxa"/>
            <w:vAlign w:val="center"/>
          </w:tcPr>
          <w:p w14:paraId="04AEBAFF">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生产</w:t>
            </w:r>
          </w:p>
          <w:p w14:paraId="647A32EA">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厂家</w:t>
            </w:r>
          </w:p>
        </w:tc>
        <w:tc>
          <w:tcPr>
            <w:tcW w:w="1073" w:type="dxa"/>
            <w:vAlign w:val="center"/>
          </w:tcPr>
          <w:p w14:paraId="5AA0FB39">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计量</w:t>
            </w:r>
          </w:p>
          <w:p w14:paraId="7BAF41DD">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单位</w:t>
            </w:r>
          </w:p>
        </w:tc>
        <w:tc>
          <w:tcPr>
            <w:tcW w:w="920" w:type="dxa"/>
            <w:vAlign w:val="center"/>
          </w:tcPr>
          <w:p w14:paraId="4C2E7625">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154" w:type="dxa"/>
            <w:vAlign w:val="center"/>
          </w:tcPr>
          <w:p w14:paraId="0FA5FF05">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单价</w:t>
            </w:r>
          </w:p>
          <w:p w14:paraId="240A933C">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096" w:type="dxa"/>
            <w:vAlign w:val="center"/>
          </w:tcPr>
          <w:p w14:paraId="6097C09C">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金额</w:t>
            </w:r>
          </w:p>
          <w:p w14:paraId="108BD4D5">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960" w:type="dxa"/>
            <w:vAlign w:val="center"/>
          </w:tcPr>
          <w:p w14:paraId="2D34DDCA">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备注</w:t>
            </w:r>
          </w:p>
        </w:tc>
      </w:tr>
      <w:tr w14:paraId="469B7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64B28639">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268" w:type="dxa"/>
            <w:vAlign w:val="center"/>
          </w:tcPr>
          <w:p w14:paraId="1C169D38">
            <w:pPr>
              <w:tabs>
                <w:tab w:val="left" w:pos="480"/>
              </w:tabs>
              <w:spacing w:line="360" w:lineRule="auto"/>
              <w:jc w:val="center"/>
              <w:rPr>
                <w:rFonts w:hint="eastAsia" w:ascii="仿宋" w:hAnsi="仿宋" w:eastAsia="仿宋" w:cs="仿宋"/>
                <w:sz w:val="24"/>
              </w:rPr>
            </w:pPr>
          </w:p>
        </w:tc>
        <w:tc>
          <w:tcPr>
            <w:tcW w:w="1182" w:type="dxa"/>
            <w:vAlign w:val="center"/>
          </w:tcPr>
          <w:p w14:paraId="519B7E70">
            <w:pPr>
              <w:tabs>
                <w:tab w:val="left" w:pos="480"/>
              </w:tabs>
              <w:spacing w:line="360" w:lineRule="auto"/>
              <w:jc w:val="center"/>
              <w:rPr>
                <w:rFonts w:hint="eastAsia" w:ascii="仿宋" w:hAnsi="仿宋" w:eastAsia="仿宋" w:cs="仿宋"/>
                <w:sz w:val="24"/>
              </w:rPr>
            </w:pPr>
          </w:p>
        </w:tc>
        <w:tc>
          <w:tcPr>
            <w:tcW w:w="1226" w:type="dxa"/>
            <w:vAlign w:val="center"/>
          </w:tcPr>
          <w:p w14:paraId="35339C6D">
            <w:pPr>
              <w:tabs>
                <w:tab w:val="left" w:pos="480"/>
              </w:tabs>
              <w:spacing w:line="360" w:lineRule="auto"/>
              <w:jc w:val="center"/>
              <w:rPr>
                <w:rFonts w:hint="eastAsia" w:ascii="仿宋" w:hAnsi="仿宋" w:eastAsia="仿宋" w:cs="仿宋"/>
                <w:sz w:val="24"/>
              </w:rPr>
            </w:pPr>
          </w:p>
        </w:tc>
        <w:tc>
          <w:tcPr>
            <w:tcW w:w="1073" w:type="dxa"/>
            <w:vAlign w:val="center"/>
          </w:tcPr>
          <w:p w14:paraId="593A0FCA">
            <w:pPr>
              <w:tabs>
                <w:tab w:val="left" w:pos="480"/>
              </w:tabs>
              <w:spacing w:line="360" w:lineRule="auto"/>
              <w:jc w:val="center"/>
              <w:rPr>
                <w:rFonts w:hint="eastAsia" w:ascii="仿宋" w:hAnsi="仿宋" w:eastAsia="仿宋" w:cs="仿宋"/>
                <w:sz w:val="24"/>
              </w:rPr>
            </w:pPr>
          </w:p>
        </w:tc>
        <w:tc>
          <w:tcPr>
            <w:tcW w:w="920" w:type="dxa"/>
            <w:vAlign w:val="center"/>
          </w:tcPr>
          <w:p w14:paraId="0F313A15">
            <w:pPr>
              <w:tabs>
                <w:tab w:val="left" w:pos="480"/>
              </w:tabs>
              <w:spacing w:line="360" w:lineRule="auto"/>
              <w:jc w:val="center"/>
              <w:rPr>
                <w:rFonts w:hint="eastAsia" w:ascii="仿宋" w:hAnsi="仿宋" w:eastAsia="仿宋" w:cs="仿宋"/>
                <w:sz w:val="24"/>
              </w:rPr>
            </w:pPr>
          </w:p>
        </w:tc>
        <w:tc>
          <w:tcPr>
            <w:tcW w:w="1154" w:type="dxa"/>
            <w:vAlign w:val="center"/>
          </w:tcPr>
          <w:p w14:paraId="58199F33">
            <w:pPr>
              <w:tabs>
                <w:tab w:val="left" w:pos="480"/>
              </w:tabs>
              <w:spacing w:line="360" w:lineRule="auto"/>
              <w:jc w:val="center"/>
              <w:rPr>
                <w:rFonts w:hint="eastAsia" w:ascii="仿宋" w:hAnsi="仿宋" w:eastAsia="仿宋" w:cs="仿宋"/>
                <w:sz w:val="24"/>
              </w:rPr>
            </w:pPr>
          </w:p>
        </w:tc>
        <w:tc>
          <w:tcPr>
            <w:tcW w:w="1096" w:type="dxa"/>
            <w:vAlign w:val="center"/>
          </w:tcPr>
          <w:p w14:paraId="434B32B5">
            <w:pPr>
              <w:tabs>
                <w:tab w:val="left" w:pos="480"/>
              </w:tabs>
              <w:spacing w:line="360" w:lineRule="auto"/>
              <w:jc w:val="center"/>
              <w:rPr>
                <w:rFonts w:hint="eastAsia" w:ascii="仿宋" w:hAnsi="仿宋" w:eastAsia="仿宋" w:cs="仿宋"/>
                <w:sz w:val="24"/>
              </w:rPr>
            </w:pPr>
          </w:p>
        </w:tc>
        <w:tc>
          <w:tcPr>
            <w:tcW w:w="960" w:type="dxa"/>
          </w:tcPr>
          <w:p w14:paraId="0970FA28">
            <w:pPr>
              <w:tabs>
                <w:tab w:val="left" w:pos="480"/>
              </w:tabs>
              <w:spacing w:line="360" w:lineRule="auto"/>
              <w:jc w:val="center"/>
              <w:rPr>
                <w:rFonts w:hint="eastAsia" w:ascii="仿宋" w:hAnsi="仿宋" w:eastAsia="仿宋" w:cs="仿宋"/>
                <w:sz w:val="24"/>
              </w:rPr>
            </w:pPr>
          </w:p>
        </w:tc>
      </w:tr>
      <w:tr w14:paraId="0B28D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8" w:type="dxa"/>
            <w:vAlign w:val="center"/>
          </w:tcPr>
          <w:p w14:paraId="39B538FC">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2</w:t>
            </w:r>
          </w:p>
        </w:tc>
        <w:tc>
          <w:tcPr>
            <w:tcW w:w="1268" w:type="dxa"/>
            <w:vAlign w:val="center"/>
          </w:tcPr>
          <w:p w14:paraId="76AEFD17">
            <w:pPr>
              <w:tabs>
                <w:tab w:val="left" w:pos="480"/>
              </w:tabs>
              <w:spacing w:line="360" w:lineRule="auto"/>
              <w:jc w:val="center"/>
              <w:rPr>
                <w:rFonts w:hint="eastAsia" w:ascii="仿宋" w:hAnsi="仿宋" w:eastAsia="仿宋" w:cs="仿宋"/>
                <w:sz w:val="24"/>
              </w:rPr>
            </w:pPr>
          </w:p>
        </w:tc>
        <w:tc>
          <w:tcPr>
            <w:tcW w:w="1182" w:type="dxa"/>
          </w:tcPr>
          <w:p w14:paraId="2B85F854">
            <w:pPr>
              <w:tabs>
                <w:tab w:val="left" w:pos="480"/>
              </w:tabs>
              <w:spacing w:line="360" w:lineRule="auto"/>
              <w:jc w:val="center"/>
              <w:rPr>
                <w:rFonts w:hint="eastAsia" w:ascii="仿宋" w:hAnsi="仿宋" w:eastAsia="仿宋" w:cs="仿宋"/>
                <w:sz w:val="24"/>
              </w:rPr>
            </w:pPr>
          </w:p>
        </w:tc>
        <w:tc>
          <w:tcPr>
            <w:tcW w:w="1226" w:type="dxa"/>
          </w:tcPr>
          <w:p w14:paraId="7B15CC07">
            <w:pPr>
              <w:tabs>
                <w:tab w:val="left" w:pos="480"/>
              </w:tabs>
              <w:spacing w:line="360" w:lineRule="auto"/>
              <w:jc w:val="center"/>
              <w:rPr>
                <w:rFonts w:hint="eastAsia" w:ascii="仿宋" w:hAnsi="仿宋" w:eastAsia="仿宋" w:cs="仿宋"/>
                <w:sz w:val="24"/>
              </w:rPr>
            </w:pPr>
          </w:p>
        </w:tc>
        <w:tc>
          <w:tcPr>
            <w:tcW w:w="1073" w:type="dxa"/>
            <w:vAlign w:val="center"/>
          </w:tcPr>
          <w:p w14:paraId="45936BA5">
            <w:pPr>
              <w:tabs>
                <w:tab w:val="left" w:pos="480"/>
              </w:tabs>
              <w:spacing w:line="360" w:lineRule="auto"/>
              <w:jc w:val="center"/>
              <w:rPr>
                <w:rFonts w:hint="eastAsia" w:ascii="仿宋" w:hAnsi="仿宋" w:eastAsia="仿宋" w:cs="仿宋"/>
                <w:sz w:val="24"/>
              </w:rPr>
            </w:pPr>
          </w:p>
        </w:tc>
        <w:tc>
          <w:tcPr>
            <w:tcW w:w="920" w:type="dxa"/>
          </w:tcPr>
          <w:p w14:paraId="2C8C077D">
            <w:pPr>
              <w:tabs>
                <w:tab w:val="left" w:pos="480"/>
              </w:tabs>
              <w:spacing w:line="360" w:lineRule="auto"/>
              <w:jc w:val="center"/>
              <w:rPr>
                <w:rFonts w:hint="eastAsia" w:ascii="仿宋" w:hAnsi="仿宋" w:eastAsia="仿宋" w:cs="仿宋"/>
                <w:sz w:val="24"/>
              </w:rPr>
            </w:pPr>
          </w:p>
        </w:tc>
        <w:tc>
          <w:tcPr>
            <w:tcW w:w="1154" w:type="dxa"/>
            <w:vAlign w:val="center"/>
          </w:tcPr>
          <w:p w14:paraId="41F1FD31">
            <w:pPr>
              <w:tabs>
                <w:tab w:val="left" w:pos="480"/>
              </w:tabs>
              <w:spacing w:line="360" w:lineRule="auto"/>
              <w:jc w:val="center"/>
              <w:rPr>
                <w:rFonts w:hint="eastAsia" w:ascii="仿宋" w:hAnsi="仿宋" w:eastAsia="仿宋" w:cs="仿宋"/>
                <w:sz w:val="24"/>
              </w:rPr>
            </w:pPr>
          </w:p>
        </w:tc>
        <w:tc>
          <w:tcPr>
            <w:tcW w:w="1096" w:type="dxa"/>
          </w:tcPr>
          <w:p w14:paraId="4264BDA4">
            <w:pPr>
              <w:tabs>
                <w:tab w:val="left" w:pos="480"/>
              </w:tabs>
              <w:spacing w:line="360" w:lineRule="auto"/>
              <w:jc w:val="center"/>
              <w:rPr>
                <w:rFonts w:hint="eastAsia" w:ascii="仿宋" w:hAnsi="仿宋" w:eastAsia="仿宋" w:cs="仿宋"/>
                <w:sz w:val="24"/>
              </w:rPr>
            </w:pPr>
          </w:p>
        </w:tc>
        <w:tc>
          <w:tcPr>
            <w:tcW w:w="960" w:type="dxa"/>
          </w:tcPr>
          <w:p w14:paraId="2EE1FA86">
            <w:pPr>
              <w:tabs>
                <w:tab w:val="left" w:pos="480"/>
              </w:tabs>
              <w:spacing w:line="360" w:lineRule="auto"/>
              <w:jc w:val="center"/>
              <w:rPr>
                <w:rFonts w:hint="eastAsia" w:ascii="仿宋" w:hAnsi="仿宋" w:eastAsia="仿宋" w:cs="仿宋"/>
                <w:sz w:val="24"/>
              </w:rPr>
            </w:pPr>
          </w:p>
        </w:tc>
      </w:tr>
      <w:tr w14:paraId="60237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67" w:type="dxa"/>
            <w:gridSpan w:val="9"/>
            <w:vAlign w:val="center"/>
          </w:tcPr>
          <w:p w14:paraId="61364E6E">
            <w:pPr>
              <w:tabs>
                <w:tab w:val="left" w:pos="480"/>
              </w:tabs>
              <w:spacing w:line="360" w:lineRule="auto"/>
              <w:rPr>
                <w:rFonts w:hint="eastAsia" w:ascii="仿宋" w:hAnsi="仿宋" w:eastAsia="仿宋" w:cs="仿宋"/>
                <w:sz w:val="24"/>
              </w:rPr>
            </w:pPr>
            <w:r>
              <w:rPr>
                <w:rFonts w:hint="eastAsia" w:ascii="仿宋" w:hAnsi="仿宋" w:eastAsia="仿宋" w:cs="仿宋"/>
                <w:sz w:val="24"/>
              </w:rPr>
              <w:t>合计人民币（大写）：</w:t>
            </w:r>
          </w:p>
          <w:p w14:paraId="783ADEB9">
            <w:pPr>
              <w:tabs>
                <w:tab w:val="left" w:pos="480"/>
              </w:tabs>
              <w:spacing w:line="360" w:lineRule="auto"/>
              <w:rPr>
                <w:rFonts w:hint="eastAsia" w:ascii="仿宋" w:hAnsi="仿宋" w:eastAsia="仿宋" w:cs="仿宋"/>
                <w:sz w:val="24"/>
              </w:rPr>
            </w:pPr>
            <w:r>
              <w:rPr>
                <w:rFonts w:hint="eastAsia" w:ascii="仿宋" w:hAnsi="仿宋" w:eastAsia="仿宋" w:cs="仿宋"/>
                <w:sz w:val="24"/>
              </w:rPr>
              <w:t>合计：¥</w:t>
            </w:r>
          </w:p>
        </w:tc>
      </w:tr>
      <w:tr w14:paraId="3399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4ADFE36B">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说明</w:t>
            </w:r>
          </w:p>
        </w:tc>
        <w:tc>
          <w:tcPr>
            <w:tcW w:w="8879" w:type="dxa"/>
            <w:gridSpan w:val="8"/>
            <w:vAlign w:val="center"/>
          </w:tcPr>
          <w:p w14:paraId="2C7A5578">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含安装、调试、检验、培训及技术服务等</w:t>
            </w:r>
          </w:p>
        </w:tc>
      </w:tr>
    </w:tbl>
    <w:p w14:paraId="35555C10">
      <w:pPr>
        <w:tabs>
          <w:tab w:val="left" w:pos="480"/>
        </w:tabs>
        <w:spacing w:line="360" w:lineRule="auto"/>
        <w:rPr>
          <w:rFonts w:hint="eastAsia" w:ascii="仿宋" w:hAnsi="仿宋" w:eastAsia="仿宋" w:cs="仿宋"/>
          <w:b/>
          <w:bCs/>
          <w:sz w:val="24"/>
          <w:lang w:val="zh-CN"/>
        </w:rPr>
      </w:pPr>
      <w:r>
        <w:rPr>
          <w:rFonts w:hint="eastAsia" w:ascii="仿宋" w:hAnsi="仿宋" w:eastAsia="仿宋" w:cs="仿宋"/>
          <w:b/>
          <w:bCs/>
          <w:sz w:val="24"/>
          <w:lang w:val="zh-CN"/>
        </w:rPr>
        <w:t>二、合同价款</w:t>
      </w:r>
    </w:p>
    <w:p w14:paraId="36FCE77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（一）合同总价款为人民币（大写）                  （¥            元）。</w:t>
      </w:r>
    </w:p>
    <w:p w14:paraId="79351A6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合同总价包括：税费、货物费、运输费（含保险费）、装卸、安装调试费、检测验收、培训、技术服务及其它乙方履行合同义务所需的全部费用。本合同执行期间合同总价不变，甲方无需向乙方另行支付费用。</w:t>
      </w:r>
    </w:p>
    <w:p w14:paraId="3BF29D86">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三、款项结算</w:t>
      </w:r>
    </w:p>
    <w:p w14:paraId="0336255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p w14:paraId="352E42F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即人民币（大写）                        元整（</w:t>
      </w:r>
      <w:r>
        <w:rPr>
          <w:rFonts w:ascii="Calibri" w:hAnsi="Calibri" w:eastAsia="仿宋" w:cs="Calibri"/>
          <w:sz w:val="24"/>
        </w:rPr>
        <w:t>¥</w:t>
      </w:r>
      <w:r>
        <w:rPr>
          <w:rFonts w:hint="eastAsia" w:ascii="仿宋" w:hAnsi="仿宋" w:eastAsia="仿宋" w:cs="仿宋"/>
          <w:sz w:val="24"/>
        </w:rPr>
        <w:t xml:space="preserve">          ）。</w:t>
      </w:r>
    </w:p>
    <w:p w14:paraId="32B37B2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（三）第一次验收合格满壹年后，进行第二次验收，验收合格后，无息退还合同总价款3%的履约保证金，即人民币（大写）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545C3E5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（四）货物第一次验收合格满叁年后，进行第三次验收，验收合格后，无息退还合同总价款2%的履约保证金，即人民币（大写）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6BC3306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（五）支付方式：银行转帐。乙方保证其提供的账号准确无误，若在合同履行期间发生变更，乙方需及时书面通知甲方，否则由此产生的后果由乙方承担。</w:t>
      </w:r>
    </w:p>
    <w:p w14:paraId="34F2584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（六）结算方式：乙方持验收合格单，全额合规发票（按合同总价值开甲方），中标通知书、供货合同，与甲方结算。</w:t>
      </w:r>
    </w:p>
    <w:p w14:paraId="515D7C15">
      <w:pPr>
        <w:spacing w:line="360" w:lineRule="auto"/>
        <w:rPr>
          <w:rFonts w:hint="eastAsia" w:ascii="仿宋" w:hAnsi="仿宋" w:eastAsia="仿宋" w:cs="仿宋"/>
          <w:b/>
          <w:bCs/>
          <w:sz w:val="24"/>
        </w:rPr>
      </w:pPr>
      <w:r>
        <w:rPr>
          <w:rFonts w:hint="eastAsia" w:ascii="仿宋" w:hAnsi="仿宋" w:eastAsia="仿宋" w:cs="仿宋"/>
          <w:b/>
          <w:bCs/>
          <w:sz w:val="24"/>
        </w:rPr>
        <w:t>四、交货条件</w:t>
      </w:r>
    </w:p>
    <w:p w14:paraId="33DED5D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（一）交货地点：西安市中心医院指定地点。</w:t>
      </w:r>
    </w:p>
    <w:p w14:paraId="18565D2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（二）交货期：</w:t>
      </w:r>
    </w:p>
    <w:p w14:paraId="2B5F41B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1、交货期：合同签订后30个日历日交货。</w:t>
      </w:r>
    </w:p>
    <w:p w14:paraId="5086BE7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46B6CAE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35CB8BAD">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五、运输</w:t>
      </w:r>
    </w:p>
    <w:p w14:paraId="360916C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（一）运输由乙方负责，运杂费已包含在合同总价内，包括从货物供应地点至交货地点所含的运输费、装卸费、仓储费、保险费等。</w:t>
      </w:r>
    </w:p>
    <w:p w14:paraId="335C2AA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（二）运输方式由乙方自行选择，但必须保证按期交货。</w:t>
      </w:r>
    </w:p>
    <w:p w14:paraId="20188F9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（三）货物验收合格前产生的一切毁损、灭失的风险及质量问题均由乙方承担。</w:t>
      </w:r>
    </w:p>
    <w:p w14:paraId="2E897E7F">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六、质量保证</w:t>
      </w:r>
    </w:p>
    <w:p w14:paraId="43CB575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乙方所供货物必须执行下列条款：</w:t>
      </w:r>
    </w:p>
    <w:p w14:paraId="694B63A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（一）保证技术指标先进、质量性能可靠、进货渠道正常，配置合理，全面满足招标文件要求。</w:t>
      </w:r>
    </w:p>
    <w:p w14:paraId="488F03B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（二）符合国家有关规范要求，确保达到最佳运行状态，对于由于产品设计、工艺或材料的缺陷而产生的质量问题负责。</w:t>
      </w:r>
    </w:p>
    <w:p w14:paraId="33C6C61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（三）具有良好的外观，适合安装场所的使用。</w:t>
      </w:r>
    </w:p>
    <w:p w14:paraId="1A16EA3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（四）自安装、调试正常运行并验收合格之日起：</w:t>
      </w:r>
    </w:p>
    <w:p w14:paraId="1E268B5B">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1、质保期：过氧化氢低温等离子体灭菌器提供原厂整机免费维保   年（提供原厂承诺函），全身及腔内容积彩色多普勒超声诊断仪、全身多功能彩色多普勒超声诊断仪、便携式彩色多普勒超声诊断仪、便携及腔镜彩色多普勒超声诊断仪提供原厂整机（主机及所有探头等）免费维保   年，探头维保包括常规探头及腹腔镜探头、经食道探头、容积探头等特殊探头，终身维护（提供原厂承诺函）。质保期内，同一主要部件出现质量问题经过两次维修后仍无法正常使用的，可以更换同型号、同规格的全新产品；发生质量问题，乙方在2小时内提出解决问题的办法，如2小时内无法通过电话解决问题，维修人员必须在接到故障报告后24小时内到达医院（法定节日以外），并于【8】小时内排除故障</w:t>
      </w:r>
      <w:bookmarkStart w:id="4" w:name="OLE_LINK1"/>
      <w:r>
        <w:rPr>
          <w:rFonts w:hint="eastAsia" w:ascii="仿宋" w:hAnsi="仿宋" w:eastAsia="仿宋" w:cs="仿宋"/>
          <w:sz w:val="24"/>
        </w:rPr>
        <w:t>，必要时提供备用机及备用探头</w:t>
      </w:r>
      <w:bookmarkEnd w:id="4"/>
      <w:r>
        <w:rPr>
          <w:rFonts w:hint="eastAsia" w:ascii="仿宋" w:hAnsi="仿宋" w:eastAsia="仿宋" w:cs="仿宋"/>
          <w:sz w:val="24"/>
        </w:rPr>
        <w:t>；法定节日中，应于【48】小时内到达现场，并于【8】小时内排除故障，必要时提供备用机及备用探头；乙方提供保修期内每年不少于    次定期保养；乙方保证年开机率≥95％（一年按365天计算）；逾期未能响应并排除故障的，采购人有权委托第三方处理，所产生的费用及风险均由供应商承担。</w:t>
      </w:r>
    </w:p>
    <w:p w14:paraId="3BF9953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2、30天内，如出现质量问题，甲方可以选择换货或退货 </w:t>
      </w:r>
    </w:p>
    <w:p w14:paraId="036D7D6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3、7天内，如出现质量问题，甲方可选择换货。</w:t>
      </w:r>
    </w:p>
    <w:p w14:paraId="4568C65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44E35DD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（六）为保证设备正常运行，在国内有备件库，存入必备配件，并保证10年以上的供应期,具备软件免费升级。</w:t>
      </w:r>
    </w:p>
    <w:p w14:paraId="3CB8153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（七）整机（含探头）生产日期距交货期低于6个月。</w:t>
      </w:r>
    </w:p>
    <w:p w14:paraId="70803F1D">
      <w:pPr>
        <w:spacing w:line="360" w:lineRule="auto"/>
        <w:rPr>
          <w:rFonts w:hint="eastAsia" w:ascii="仿宋" w:hAnsi="仿宋" w:eastAsia="仿宋" w:cs="仿宋"/>
          <w:b/>
          <w:bCs/>
          <w:sz w:val="24"/>
        </w:rPr>
      </w:pPr>
      <w:r>
        <w:rPr>
          <w:rFonts w:hint="eastAsia" w:ascii="仿宋" w:hAnsi="仿宋" w:eastAsia="仿宋" w:cs="仿宋"/>
          <w:b/>
          <w:bCs/>
          <w:sz w:val="24"/>
        </w:rPr>
        <w:t>七、售后服务</w:t>
      </w:r>
    </w:p>
    <w:p w14:paraId="7FC9C11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乙方为所供货物提供以下售后服务：</w:t>
      </w:r>
    </w:p>
    <w:p w14:paraId="6FBF6AF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（一）质保期内：</w:t>
      </w:r>
    </w:p>
    <w:p w14:paraId="12102A2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1、同一主要部件出现质量问题经过两次维修后仍无法正常使用的，乙方需更换同型号、同规格的全新产品；</w:t>
      </w:r>
    </w:p>
    <w:p w14:paraId="459B8C0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发生质量问题，乙方在2小时内提出解决问题的办法，如2小时内无法通过电话解决问题，维修人员必须在接到故障报告后24小时内到达医院（法定节日以外），并于【8】小时内排除故障，必要时提供备用机及备用探头；法定节日中，应于【48】小时内到达现场，并于【8】小时内排除故障，必要时提供备用机及备用探头；</w:t>
      </w:r>
    </w:p>
    <w:p w14:paraId="1779375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3、乙方提供保修期内每年不少于    次定期保养；</w:t>
      </w:r>
    </w:p>
    <w:p w14:paraId="3CC1066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4、乙方保证年开机率≥95％（一年按365天计算）；</w:t>
      </w:r>
    </w:p>
    <w:p w14:paraId="64587F0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5、逾期未能响应并排除故障的，采购人有权委托第三方处理，所产生的费用及风险均由供应商承担，采购人有权直接从履约保证金中扣除相关费用。</w:t>
      </w:r>
    </w:p>
    <w:p w14:paraId="455511E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（二）质保期结束前，进行系统测试，全面保养维护，确保正常运行。</w:t>
      </w:r>
    </w:p>
    <w:p w14:paraId="059B3A8C">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八、技术与服务</w:t>
      </w:r>
    </w:p>
    <w:p w14:paraId="10F90B8C">
      <w:pPr>
        <w:tabs>
          <w:tab w:val="left" w:pos="480"/>
        </w:tabs>
        <w:spacing w:line="360" w:lineRule="auto"/>
        <w:rPr>
          <w:rFonts w:hint="eastAsia" w:ascii="仿宋" w:hAnsi="仿宋" w:eastAsia="仿宋" w:cs="仿宋"/>
          <w:sz w:val="24"/>
        </w:rPr>
      </w:pPr>
      <w:r>
        <w:rPr>
          <w:rFonts w:hint="eastAsia" w:ascii="仿宋" w:hAnsi="仿宋" w:eastAsia="仿宋" w:cs="仿宋"/>
          <w:sz w:val="24"/>
        </w:rPr>
        <w:t>（一）技术资料：</w:t>
      </w:r>
    </w:p>
    <w:p w14:paraId="1C4BE05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1、货物合格证；</w:t>
      </w:r>
    </w:p>
    <w:p w14:paraId="35C250A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2、货物使用说明书（中文）；</w:t>
      </w:r>
    </w:p>
    <w:p w14:paraId="600B3C7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3、进口货物商检证明和报关单；</w:t>
      </w:r>
    </w:p>
    <w:p w14:paraId="083ABCE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4、乙方提供相关部门出具的检验测试报告；</w:t>
      </w:r>
    </w:p>
    <w:p w14:paraId="5EA08FF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5、其它资料。</w:t>
      </w:r>
    </w:p>
    <w:p w14:paraId="14C3C5E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乙方应在供货时一并提供前述技术资料，否则均视为交付不合格，甲方有权拒绝验收，由此造成的一切后果由乙方承担。</w:t>
      </w:r>
    </w:p>
    <w:p w14:paraId="350CC7F4">
      <w:pPr>
        <w:numPr>
          <w:ilvl w:val="0"/>
          <w:numId w:val="1"/>
        </w:num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培训：乙方须在设备安装调试完成后对甲方操作人员进行完整使用、保养等培训，确保受训人员可熟练、独立使用设备，是否完成培训视为货物验收必备条件之一；</w:t>
      </w:r>
    </w:p>
    <w:p w14:paraId="5F5A34E4">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ab/>
      </w:r>
      <w:r>
        <w:rPr>
          <w:rFonts w:hint="eastAsia" w:ascii="仿宋" w:hAnsi="仿宋" w:eastAsia="仿宋" w:cs="仿宋"/>
          <w:sz w:val="24"/>
        </w:rPr>
        <w:t>（三）培训要求：操作、诊断人员≥4人次；维修、维护≥2人次。</w:t>
      </w:r>
    </w:p>
    <w:p w14:paraId="7814248B">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（四）服务承诺：以投标文件、澄清表（函）、合同和随货物的相关文件为准。</w:t>
      </w:r>
    </w:p>
    <w:p w14:paraId="0F7E00A6">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九、验收</w:t>
      </w:r>
    </w:p>
    <w:p w14:paraId="4B2AA78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（一）货物到达甲方指定地点后，甲方根据合同要求，进行外观验收，确认产地、规格、型号和数量。甲乙双方需在约定的时间和地点共同开箱检验。</w:t>
      </w:r>
    </w:p>
    <w:p w14:paraId="3D7CF4E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（二）货物安装、调试并正常运行后，由乙方进行自检，合格后能够正常使用时书面通知甲方。</w:t>
      </w:r>
    </w:p>
    <w:p w14:paraId="1CAD2B2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（三）甲方确认接收乙方的自检内容后，进行验收（必要时请有关专家，由乙方承担聘请专家的费用），验收合格后，由乙方对甲方操作人员进行培训，完成培训后，甲方填写验收单作为对货物的最终认可。</w:t>
      </w:r>
    </w:p>
    <w:p w14:paraId="729F3A5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（四）乙方向甲方提交货物实施过程中的所有资料。以便甲方日后管理和维护。</w:t>
      </w:r>
    </w:p>
    <w:p w14:paraId="09EF142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（五）货物验收时必须提供海关证明，验收15日内完成商检手续办理。</w:t>
      </w:r>
    </w:p>
    <w:p w14:paraId="1A1E396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（六）设备验收时需提供附带市级法定机构出具的计量检定/校准证书。</w:t>
      </w:r>
    </w:p>
    <w:p w14:paraId="3349563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（七）验收依据：</w:t>
      </w:r>
    </w:p>
    <w:p w14:paraId="5477DD9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1、本合同及合同附件。</w:t>
      </w:r>
    </w:p>
    <w:p w14:paraId="77CC31E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2、国家相应的标准、规范。</w:t>
      </w:r>
    </w:p>
    <w:p w14:paraId="028693A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3、招标文件、投标文件、中标通知书、澄清表（函）。</w:t>
      </w:r>
    </w:p>
    <w:p w14:paraId="06CFA3C1">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十、违约责任</w:t>
      </w:r>
    </w:p>
    <w:p w14:paraId="2120273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（一）按《政府采购法》、《民法典》中的相关条款执行。</w:t>
      </w:r>
    </w:p>
    <w:p w14:paraId="02D3B19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041F611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1、乙方赔偿甲方解除合同的全部损失（包括但不限于重新采购产生的费用、合同未履行导致设备不能按规划交付使用可能产生的租赁费用及其它由此造成的甲方对第三方的违约损失）；</w:t>
      </w:r>
    </w:p>
    <w:p w14:paraId="2EC8785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2、乙方支付甲方违约金，违约金计算方法：以合同总价为基数，支付甲方合同总价的30%为违约金，违约金不足以赔偿甲方损失的，由乙方另行承担。</w:t>
      </w:r>
    </w:p>
    <w:p w14:paraId="40397BA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同时，甲方有权对乙方的违约行为报监管机构进行相应的处罚。</w:t>
      </w:r>
    </w:p>
    <w:p w14:paraId="74753D8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（三）乙方逾期交货的，交货期每超过一天，乙方应按照合同总价款的【1】%向甲方支付违约金；迟延交货超过【7】天的，视为乙方根本违约，甲方有权依据本条第（二）款之约定单方解除本合同。</w:t>
      </w:r>
    </w:p>
    <w:p w14:paraId="0F908B1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（四）乙方违约时，甲方为主张权利而支出的律师费、保全费、保全保险费、差旅费等费用由乙方承担。</w:t>
      </w:r>
    </w:p>
    <w:p w14:paraId="2E147AD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72BC29E0">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十一、合同争议解决的方式</w:t>
      </w:r>
    </w:p>
    <w:p w14:paraId="7FDD90B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本合同在履行过程中发生的争议，由甲、乙双方当事人协商解决，协商不成的依法向甲方所在地人民法院起诉。</w:t>
      </w:r>
    </w:p>
    <w:p w14:paraId="19C0BC39">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十二、合同生效</w:t>
      </w:r>
    </w:p>
    <w:p w14:paraId="537763F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本合同一式</w:t>
      </w:r>
      <w:r>
        <w:rPr>
          <w:rFonts w:hint="eastAsia" w:ascii="仿宋" w:hAnsi="仿宋" w:eastAsia="仿宋" w:cs="仿宋"/>
          <w:sz w:val="24"/>
          <w:u w:val="single"/>
        </w:rPr>
        <w:t>拾</w:t>
      </w:r>
      <w:r>
        <w:rPr>
          <w:rFonts w:hint="eastAsia" w:ascii="仿宋" w:hAnsi="仿宋" w:eastAsia="仿宋" w:cs="仿宋"/>
          <w:sz w:val="24"/>
        </w:rPr>
        <w:t>份，甲方</w:t>
      </w:r>
      <w:r>
        <w:rPr>
          <w:rFonts w:hint="eastAsia" w:ascii="仿宋" w:hAnsi="仿宋" w:eastAsia="仿宋" w:cs="仿宋"/>
          <w:sz w:val="24"/>
          <w:u w:val="single"/>
        </w:rPr>
        <w:t>捌</w:t>
      </w:r>
      <w:r>
        <w:rPr>
          <w:rFonts w:hint="eastAsia" w:ascii="仿宋" w:hAnsi="仿宋" w:eastAsia="仿宋" w:cs="仿宋"/>
          <w:sz w:val="24"/>
        </w:rPr>
        <w:t>份，乙方执</w:t>
      </w:r>
      <w:r>
        <w:rPr>
          <w:rFonts w:hint="eastAsia" w:ascii="仿宋" w:hAnsi="仿宋" w:eastAsia="仿宋" w:cs="仿宋"/>
          <w:sz w:val="24"/>
          <w:u w:val="single"/>
        </w:rPr>
        <w:t>贰</w:t>
      </w:r>
      <w:r>
        <w:rPr>
          <w:rFonts w:hint="eastAsia" w:ascii="仿宋" w:hAnsi="仿宋" w:eastAsia="仿宋" w:cs="仿宋"/>
          <w:sz w:val="24"/>
        </w:rPr>
        <w:t>份，本合同经甲方、乙方双方签字盖章后生效，质保期结束后，自动终止（合同的服务承诺除外）。</w:t>
      </w:r>
    </w:p>
    <w:p w14:paraId="10E22E1D">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十三、其他事项</w:t>
      </w:r>
    </w:p>
    <w:p w14:paraId="5995140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（一）西安市财政局政府采购管理处在合同的履行期间以及履行期后，可以随时检查项目的执行情况，对采购内容、标准进行调查核实，并对发现的问题进行处理。</w:t>
      </w:r>
    </w:p>
    <w:p w14:paraId="1DC4DAF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（二）招标文件、投标文件、澄清表（函）、中标通知书、合同附件均成为合同不可分割的部分。</w:t>
      </w:r>
    </w:p>
    <w:p w14:paraId="58BB1D99">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（三）合同未尽事宜，由甲、乙双方协商，签订补充协议，与原合同具有同等法律效力。</w:t>
      </w:r>
    </w:p>
    <w:p w14:paraId="32E7C19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（四）合同一经签订，不得擅自变更、中止或终止合同。对确需变更、调整或中止、终止合同的，有法律规定的按照法律规定，除合同约定外，由甲乙双方再行协商，协商一致前，原合同或条款继续履行。</w:t>
      </w:r>
    </w:p>
    <w:p w14:paraId="512B4C4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（五）本合同按照中华人民共和国的现行法律进行解释。</w:t>
      </w:r>
    </w:p>
    <w:p w14:paraId="0C6ECAD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（六）本合同附件作为本合同的组成部份，与本合同具有同等法律效力。</w:t>
      </w:r>
    </w:p>
    <w:p w14:paraId="0D767DB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（七）供应商规模：                      （大型企业/中型企业/小微型企业）</w:t>
      </w:r>
    </w:p>
    <w:p w14:paraId="56E1A00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（八） 甲方联系人：               ；联系电话：                      </w:t>
      </w:r>
    </w:p>
    <w:p w14:paraId="44019C2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乙方联系人：               ；联系电话：                      </w:t>
      </w:r>
    </w:p>
    <w:p w14:paraId="615F2C69">
      <w:pPr>
        <w:tabs>
          <w:tab w:val="left" w:pos="480"/>
        </w:tabs>
        <w:spacing w:line="360" w:lineRule="auto"/>
        <w:rPr>
          <w:rFonts w:hint="eastAsia" w:ascii="仿宋" w:hAnsi="仿宋" w:eastAsia="仿宋" w:cs="仿宋"/>
          <w:sz w:val="24"/>
        </w:rPr>
      </w:pPr>
    </w:p>
    <w:p w14:paraId="478ADE58">
      <w:pPr>
        <w:tabs>
          <w:tab w:val="left" w:pos="480"/>
        </w:tabs>
        <w:spacing w:line="360" w:lineRule="auto"/>
        <w:ind w:firstLine="240" w:firstLineChars="100"/>
        <w:rPr>
          <w:rFonts w:hint="eastAsia" w:ascii="仿宋" w:hAnsi="仿宋" w:eastAsia="仿宋" w:cs="仿宋"/>
          <w:sz w:val="24"/>
        </w:rPr>
      </w:pPr>
      <w:r>
        <w:rPr>
          <w:rFonts w:hint="eastAsia" w:ascii="仿宋" w:hAnsi="仿宋" w:eastAsia="仿宋" w:cs="仿宋"/>
          <w:sz w:val="24"/>
        </w:rPr>
        <w:t>（以下无正文）</w:t>
      </w:r>
    </w:p>
    <w:p w14:paraId="0D2B40FE">
      <w:pPr>
        <w:tabs>
          <w:tab w:val="left" w:pos="480"/>
        </w:tabs>
        <w:spacing w:line="360" w:lineRule="auto"/>
        <w:rPr>
          <w:rFonts w:hint="eastAsia" w:ascii="仿宋" w:hAnsi="仿宋" w:eastAsia="仿宋" w:cs="仿宋"/>
          <w:sz w:val="24"/>
        </w:rPr>
      </w:pPr>
    </w:p>
    <w:p w14:paraId="04DC399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甲方（公章）                                 乙方（公章）</w:t>
      </w:r>
    </w:p>
    <w:p w14:paraId="148D0B9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单位名称：西安市中心医院                     单位名称:</w:t>
      </w:r>
    </w:p>
    <w:p w14:paraId="1B03499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地址：西安市西五路161号                     地址： </w:t>
      </w:r>
    </w:p>
    <w:p w14:paraId="2D1D638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w:t>
      </w:r>
    </w:p>
    <w:p w14:paraId="0EEAD86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法定代表人：（签字）                         法定代表人：（签字）</w:t>
      </w:r>
    </w:p>
    <w:p w14:paraId="2B62B4E1">
      <w:pPr>
        <w:tabs>
          <w:tab w:val="left" w:pos="480"/>
        </w:tabs>
        <w:spacing w:line="360" w:lineRule="auto"/>
        <w:ind w:firstLine="480" w:firstLineChars="200"/>
        <w:jc w:val="left"/>
        <w:rPr>
          <w:rFonts w:hint="eastAsia" w:ascii="仿宋" w:hAnsi="仿宋" w:eastAsia="仿宋" w:cs="仿宋"/>
          <w:sz w:val="24"/>
        </w:rPr>
      </w:pPr>
    </w:p>
    <w:p w14:paraId="637E2FE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代理人：（签字）                             代理人：（签字）</w:t>
      </w:r>
    </w:p>
    <w:p w14:paraId="1D1DDB9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开户银行:</w:t>
      </w:r>
    </w:p>
    <w:p w14:paraId="1434D8C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帐号：</w:t>
      </w:r>
    </w:p>
    <w:p w14:paraId="7BC6E21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签订日期：   年    月    日                 签订日期：   年    月    日</w:t>
      </w:r>
    </w:p>
    <w:p w14:paraId="560A93E0">
      <w:pPr>
        <w:tabs>
          <w:tab w:val="left" w:pos="480"/>
        </w:tabs>
        <w:spacing w:line="360" w:lineRule="auto"/>
        <w:rPr>
          <w:rFonts w:hint="eastAsia" w:ascii="仿宋" w:hAnsi="仿宋" w:eastAsia="仿宋" w:cs="仿宋"/>
          <w:sz w:val="24"/>
        </w:rPr>
      </w:pPr>
      <w:r>
        <w:rPr>
          <w:rFonts w:hint="eastAsia" w:ascii="仿宋" w:hAnsi="仿宋" w:eastAsia="仿宋" w:cs="仿宋"/>
          <w:sz w:val="24"/>
        </w:rPr>
        <w:t>附件一：配置清单</w:t>
      </w:r>
    </w:p>
    <w:p w14:paraId="7EE35463">
      <w:pPr>
        <w:tabs>
          <w:tab w:val="left" w:pos="480"/>
        </w:tabs>
        <w:spacing w:line="360" w:lineRule="auto"/>
        <w:rPr>
          <w:rFonts w:hint="eastAsia" w:ascii="仿宋" w:hAnsi="仿宋" w:eastAsia="仿宋" w:cs="仿宋"/>
          <w:sz w:val="24"/>
        </w:rPr>
      </w:pPr>
      <w:r>
        <w:rPr>
          <w:rFonts w:hint="eastAsia" w:ascii="仿宋" w:hAnsi="仿宋" w:eastAsia="仿宋" w:cs="仿宋"/>
          <w:sz w:val="24"/>
        </w:rPr>
        <w:t>附件二：设备参数</w:t>
      </w:r>
    </w:p>
    <w:p w14:paraId="77160D58">
      <w:pPr>
        <w:pStyle w:val="6"/>
        <w:spacing w:line="360" w:lineRule="auto"/>
        <w:rPr>
          <w:rFonts w:hint="eastAsia" w:ascii="仿宋" w:hAnsi="仿宋" w:eastAsia="仿宋" w:cs="仿宋"/>
          <w:sz w:val="24"/>
          <w:szCs w:val="24"/>
        </w:rPr>
      </w:pPr>
    </w:p>
    <w:p w14:paraId="68F1DFC3">
      <w:pPr>
        <w:autoSpaceDE w:val="0"/>
        <w:autoSpaceDN w:val="0"/>
        <w:adjustRightInd w:val="0"/>
        <w:spacing w:line="360" w:lineRule="auto"/>
        <w:jc w:val="left"/>
        <w:rPr>
          <w:rFonts w:hint="eastAsia" w:ascii="仿宋" w:hAnsi="仿宋" w:eastAsia="仿宋" w:cs="仿宋"/>
          <w:b/>
          <w:bCs/>
          <w:sz w:val="24"/>
          <w:lang w:val="zh-CN"/>
        </w:rPr>
      </w:pPr>
      <w:r>
        <w:rPr>
          <w:rFonts w:hint="eastAsia" w:ascii="仿宋" w:hAnsi="仿宋" w:eastAsia="仿宋" w:cs="仿宋"/>
          <w:b/>
          <w:bCs/>
          <w:sz w:val="24"/>
        </w:rPr>
        <w:t>备注：</w:t>
      </w:r>
      <w:r>
        <w:rPr>
          <w:rFonts w:hint="eastAsia" w:ascii="仿宋" w:hAnsi="仿宋" w:eastAsia="仿宋" w:cs="仿宋"/>
          <w:b/>
          <w:bCs/>
          <w:sz w:val="24"/>
          <w:lang w:val="zh-CN"/>
        </w:rPr>
        <w:t>供货合同与技术参数不一致的以招标文件正本技术参数为准。</w:t>
      </w:r>
    </w:p>
    <w:p w14:paraId="47D72723">
      <w:pPr>
        <w:pStyle w:val="6"/>
        <w:spacing w:line="360" w:lineRule="auto"/>
        <w:rPr>
          <w:rFonts w:hint="eastAsia" w:ascii="仿宋" w:hAnsi="仿宋" w:eastAsia="仿宋" w:cs="仿宋"/>
          <w:sz w:val="24"/>
          <w:szCs w:val="24"/>
        </w:rPr>
      </w:pPr>
    </w:p>
    <w:p w14:paraId="307AD5B6">
      <w:pPr>
        <w:pStyle w:val="6"/>
        <w:rPr>
          <w:lang w:val="zh-CN"/>
        </w:rPr>
      </w:pPr>
    </w:p>
    <w:p w14:paraId="6810A3A2"/>
    <w:p w14:paraId="5A95A33E">
      <w:pPr>
        <w:pStyle w:val="3"/>
        <w:shd w:val="clear"/>
        <w:ind w:firstLine="0"/>
        <w:rPr>
          <w:rFonts w:ascii="仿宋" w:hAnsi="仿宋" w:eastAsia="仿宋" w:cs="仿宋"/>
          <w:color w:val="auto"/>
          <w:kern w:val="2"/>
          <w:sz w:val="52"/>
          <w:szCs w:val="52"/>
          <w:highlight w:val="none"/>
        </w:rPr>
      </w:pPr>
    </w:p>
    <w:p w14:paraId="1C91F1DF">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7A"/>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DE449B"/>
    <w:multiLevelType w:val="singleLevel"/>
    <w:tmpl w:val="FBDE44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31F2B2B"/>
    <w:rsid w:val="3DA71B32"/>
    <w:rsid w:val="41037F0F"/>
    <w:rsid w:val="417D58F0"/>
    <w:rsid w:val="44AD06F3"/>
    <w:rsid w:val="5EA63987"/>
    <w:rsid w:val="74B51513"/>
    <w:rsid w:val="76C4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footer"/>
    <w:basedOn w:val="1"/>
    <w:qFormat/>
    <w:uiPriority w:val="0"/>
    <w:pPr>
      <w:tabs>
        <w:tab w:val="center" w:pos="4153"/>
        <w:tab w:val="right" w:pos="8306"/>
      </w:tabs>
      <w:autoSpaceDE w:val="0"/>
      <w:autoSpaceDN w:val="0"/>
      <w:adjustRightInd w:val="0"/>
      <w:snapToGrid w:val="0"/>
      <w:jc w:val="left"/>
    </w:pPr>
    <w:rPr>
      <w:rFonts w:ascii="宋体" w:hAnsi="Times New Roman" w:eastAsia="宋体" w:cs="Times New Roman"/>
      <w:kern w:val="0"/>
      <w:sz w:val="18"/>
      <w:szCs w:val="20"/>
    </w:rPr>
  </w:style>
  <w:style w:type="paragraph" w:styleId="7">
    <w:name w:val="Title"/>
    <w:basedOn w:val="5"/>
    <w:next w:val="1"/>
    <w:qFormat/>
    <w:uiPriority w:val="0"/>
    <w:pPr>
      <w:spacing w:before="240" w:after="60"/>
      <w:jc w:val="center"/>
      <w:outlineLvl w:val="0"/>
    </w:pPr>
    <w:rPr>
      <w:rFonts w:ascii="Cambria" w:hAnsi="Cambria"/>
      <w:b/>
      <w:bCs/>
      <w:sz w:val="32"/>
      <w:szCs w:val="32"/>
    </w:rPr>
  </w:style>
  <w:style w:type="character" w:customStyle="1" w:styleId="10">
    <w:name w:val="标题 1 字符"/>
    <w:link w:val="2"/>
    <w:qFormat/>
    <w:uiPriority w:val="0"/>
    <w:rPr>
      <w:rFonts w:ascii="宋体" w:hAnsi="Times New Roman"/>
      <w:kern w:val="4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4337</Words>
  <Characters>4363</Characters>
  <Lines>0</Lines>
  <Paragraphs>0</Paragraphs>
  <TotalTime>0</TotalTime>
  <ScaleCrop>false</ScaleCrop>
  <LinksUpToDate>false</LinksUpToDate>
  <CharactersWithSpaces>4880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2025-11-25T13:04:26Z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623A60DD30404033A49732512D142669_12</vt:lpwstr>
  </property>
  <property fmtid="{D5CDD505-2E9C-101B-9397-08002B2CF9AE}" pid="4" name="KSOTemplateDocerSaveRecord">
    <vt:lpwstr>eyJoZGlkIjoiN2M0NTdjYmM1YjY4OGU5YTNhODc4MDEyNDYzOWU1MWQiLCJ1c2VySWQiOiIzNzA0MjM3MzgifQ==</vt:lpwstr>
  </property>
</Properties>
</file>