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版本号：HSGJ2025-23820251121001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2025年度森林草原湿地荒漠调查监测项目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HSGJ2025-238</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2025年度森林草原湿地荒漠调查监测项目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HSGJ2025-238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2025年度森林草原湿地荒漠调查监测项目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2025年度森林草原湿地荒漠调查监测项目，具体内容详见第三章。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采购包1（2025年度森林草原湿地荒漠调查监测项目）：属于专门面向中小企业采购。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1、有效的主体资格证明：提供具有独立承担民事责任能力的法人、其他组织或自然人，并出具合法有效的相关证明材料；</w:t>
      </w:r>
    </w:p>
    <w:p>
      <w:pPr>
        <w:pStyle w:val="null3"/>
      </w:pPr>
      <w:r>
        <w:rPr>
          <w:rFonts w:ascii="仿宋_GB2312" w:hAnsi="仿宋_GB2312" w:cs="仿宋_GB2312" w:eastAsia="仿宋_GB2312"/>
        </w:rPr>
        <w:t>2、财务状况证明：提供2024年度的财务审计报告（成立时间至提交响应文件截止时间不足一年的可提供成立后任意时段的资产负债表），或开标时间前六个月内银行出具的资信证明；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3、税收缴纳证明：提供2025年1月至今已缴纳任意一个月的纳税证明或完税证明（任意税种），依法免税的单位应提供相关证明材料；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4、社会保障资金缴纳证明：提供2025年1月至今已缴纳任意一个月的社会保障资金缴存单据或社保机构开具的社会保险参保缴费情况证明，依法不需要缴纳社会保障资金的单位应提供相关证明材料；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6、专业技术能力证明：提供具有履行合同所必需的设备和专业技术能力的承诺；</w:t>
      </w:r>
    </w:p>
    <w:p>
      <w:pPr>
        <w:pStyle w:val="null3"/>
      </w:pPr>
      <w:r>
        <w:rPr>
          <w:rFonts w:ascii="仿宋_GB2312" w:hAnsi="仿宋_GB2312" w:cs="仿宋_GB2312" w:eastAsia="仿宋_GB2312"/>
        </w:rPr>
        <w:t>7、法定代表人委托授权书\身份证明：法定代表人委托授权书\身份证明：法定代表人授权书及被授权人身份证（法定代表人直接参加磋商的须提供其法定代表人身份证），非法人单位参照执行。法定代表人授权代表参加磋商的，须出具法定代表人授权书及授权代表身份证。</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10、联合体情况：本项目不接受联合体投标；</w:t>
      </w:r>
    </w:p>
    <w:p>
      <w:pPr>
        <w:pStyle w:val="null3"/>
      </w:pPr>
      <w:r>
        <w:rPr>
          <w:rFonts w:ascii="仿宋_GB2312" w:hAnsi="仿宋_GB2312" w:cs="仿宋_GB2312" w:eastAsia="仿宋_GB2312"/>
        </w:rPr>
        <w:t>11、企业资质：供应商须具备测绘乙级以上（含乙级）资质；</w:t>
      </w:r>
    </w:p>
    <w:p>
      <w:pPr>
        <w:pStyle w:val="null3"/>
      </w:pPr>
      <w:r>
        <w:rPr>
          <w:rFonts w:ascii="仿宋_GB2312" w:hAnsi="仿宋_GB2312" w:cs="仿宋_GB2312" w:eastAsia="仿宋_GB2312"/>
        </w:rPr>
        <w:t>12、项目负责人：供应商项目负责人须具有测绘类中级以上（含中级）职称或注册测绘师证书；</w:t>
      </w:r>
    </w:p>
    <w:p>
      <w:pPr>
        <w:pStyle w:val="null3"/>
      </w:pPr>
      <w:r>
        <w:rPr>
          <w:rFonts w:ascii="仿宋_GB2312" w:hAnsi="仿宋_GB2312" w:cs="仿宋_GB2312" w:eastAsia="仿宋_GB2312"/>
        </w:rPr>
        <w:t>13、中小企业声明函：本项目专门面向中小微企业采购，须符合《政府采购促进中小企业发展管理办法》（财库〔2020〕46号）规定的中小微企业参加，符合要求的监狱企业或残疾人福利单位视同小微企业，并按要求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西安市长安区关中环线子午段2345号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转账事由：HSGJ2025-238项目代理服务费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2025</w:t>
      </w:r>
      <w:r>
        <w:rPr>
          <w:rFonts w:ascii="仿宋_GB2312" w:hAnsi="仿宋_GB2312" w:cs="仿宋_GB2312" w:eastAsia="仿宋_GB2312"/>
          <w:sz w:val="21"/>
        </w:rPr>
        <w:t>年度森林草原湿地荒漠调查监测项目，具体详见项目需求。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299,100.00</w:t>
      </w:r>
    </w:p>
    <w:p>
      <w:pPr>
        <w:pStyle w:val="null3"/>
      </w:pPr>
      <w:r>
        <w:rPr>
          <w:rFonts w:ascii="仿宋_GB2312" w:hAnsi="仿宋_GB2312" w:cs="仿宋_GB2312" w:eastAsia="仿宋_GB2312"/>
        </w:rPr>
        <w:t>采购包最高限价（元）: 299,100.00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2025年度森林草原湿地荒漠调查监测项目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标的名称：2025年度森林草原湿地荒漠调查监测项目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pPr>
            <w:r>
              <w:rPr>
                <w:rFonts w:ascii="仿宋_GB2312" w:hAnsi="仿宋_GB2312" w:cs="仿宋_GB2312" w:eastAsia="仿宋_GB2312"/>
                <w:sz w:val="24"/>
                <w:color w:val="000000"/>
              </w:rPr>
              <w:t>根据《自然资源部办公厅</w:t>
            </w:r>
            <w:r>
              <w:rPr>
                <w:rFonts w:ascii="仿宋_GB2312" w:hAnsi="仿宋_GB2312" w:cs="仿宋_GB2312" w:eastAsia="仿宋_GB2312"/>
                <w:sz w:val="24"/>
                <w:color w:val="000000"/>
              </w:rPr>
              <w:t>国家林业和草原局办公室关于开展</w:t>
            </w:r>
            <w:r>
              <w:rPr>
                <w:rFonts w:ascii="仿宋_GB2312" w:hAnsi="仿宋_GB2312" w:cs="仿宋_GB2312" w:eastAsia="仿宋_GB2312"/>
                <w:sz w:val="24"/>
                <w:color w:val="000000"/>
              </w:rPr>
              <w:t>2025年度全国国土变更调查及森林草原湿地荒漠调查监测工作的通知》（自然资办发〔2025〕33号）《陕西省自然资源厅 陕西省林业局关于做好2025年度国土变更调查及森林草原湿地荒漠调查监测工作的通知》，开展西安市2025年度森林草原湿地荒漠调查市级审核汇总工作。全面核查汇总全市林草管理范围内地类变化情况和林草调查监测植被覆盖类型情况，坚持统一底版、统一标准、统一时点，进一步丰富自然资源调查成果，深化完善“三调”一张图，为森林草原湿地管理、造林绿化适宜空间评估、编制“十五五”规划、支撑森林草原湿地保护发展以及推动林草事业高质量发展等提供基础类。掌握全市森林、草原、湿地资源现状卫变化情况，科学评价其质量和生态状况。</w:t>
            </w:r>
          </w:p>
          <w:p>
            <w:pPr>
              <w:pStyle w:val="null3"/>
              <w:ind w:firstLine="566"/>
            </w:pPr>
            <w:r>
              <w:rPr>
                <w:rFonts w:ascii="仿宋_GB2312" w:hAnsi="仿宋_GB2312" w:cs="仿宋_GB2312" w:eastAsia="仿宋_GB2312"/>
                <w:sz w:val="24"/>
                <w:color w:val="000000"/>
              </w:rPr>
              <w:t>1.项目名称：2025年度森林草原湿地荒漠调查监测项目</w:t>
            </w:r>
          </w:p>
          <w:p>
            <w:pPr>
              <w:pStyle w:val="null3"/>
              <w:ind w:firstLine="566"/>
            </w:pPr>
            <w:r>
              <w:rPr>
                <w:rFonts w:ascii="仿宋_GB2312" w:hAnsi="仿宋_GB2312" w:cs="仿宋_GB2312" w:eastAsia="仿宋_GB2312"/>
                <w:sz w:val="24"/>
                <w:color w:val="000000"/>
              </w:rPr>
              <w:t>2.项目地点：西安市</w:t>
            </w:r>
          </w:p>
          <w:p>
            <w:pPr>
              <w:pStyle w:val="null3"/>
              <w:ind w:firstLine="566"/>
            </w:pPr>
            <w:r>
              <w:rPr>
                <w:rFonts w:ascii="仿宋_GB2312" w:hAnsi="仿宋_GB2312" w:cs="仿宋_GB2312" w:eastAsia="仿宋_GB2312"/>
                <w:sz w:val="24"/>
                <w:color w:val="000000"/>
              </w:rPr>
              <w:t>3.项目任务：</w:t>
            </w:r>
          </w:p>
          <w:p>
            <w:pPr>
              <w:pStyle w:val="null3"/>
              <w:ind w:firstLine="566"/>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1）成果检查</w:t>
            </w:r>
          </w:p>
          <w:p>
            <w:pPr>
              <w:pStyle w:val="null3"/>
              <w:ind w:firstLine="566"/>
            </w:pPr>
            <w:r>
              <w:rPr>
                <w:rFonts w:ascii="仿宋_GB2312" w:hAnsi="仿宋_GB2312" w:cs="仿宋_GB2312" w:eastAsia="仿宋_GB2312"/>
                <w:sz w:val="24"/>
                <w:color w:val="000000"/>
              </w:rPr>
              <w:t>对县级林草部门提交的林草湿荒调查监测成果进行质量检查，确保成果准确有效，顺利通过国家和省级验收。</w:t>
            </w:r>
          </w:p>
          <w:p>
            <w:pPr>
              <w:pStyle w:val="null3"/>
              <w:ind w:firstLine="566"/>
            </w:pPr>
            <w:r>
              <w:rPr>
                <w:rFonts w:ascii="仿宋_GB2312" w:hAnsi="仿宋_GB2312" w:cs="仿宋_GB2312" w:eastAsia="仿宋_GB2312"/>
                <w:sz w:val="24"/>
                <w:color w:val="000000"/>
              </w:rPr>
              <w:t>（</w:t>
            </w:r>
            <w:r>
              <w:rPr>
                <w:rFonts w:ascii="仿宋_GB2312" w:hAnsi="仿宋_GB2312" w:cs="仿宋_GB2312" w:eastAsia="仿宋_GB2312"/>
                <w:sz w:val="24"/>
                <w:color w:val="000000"/>
              </w:rPr>
              <w:t>2）成果汇总分析</w:t>
            </w:r>
          </w:p>
          <w:p>
            <w:pPr>
              <w:pStyle w:val="null3"/>
              <w:ind w:firstLine="566"/>
            </w:pPr>
            <w:r>
              <w:rPr>
                <w:rFonts w:ascii="仿宋_GB2312" w:hAnsi="仿宋_GB2312" w:cs="仿宋_GB2312" w:eastAsia="仿宋_GB2312"/>
                <w:sz w:val="24"/>
                <w:color w:val="000000"/>
              </w:rPr>
              <w:t>汇总全市林草综合监测变化情况，形成流量分析报告。</w:t>
            </w:r>
          </w:p>
          <w:p>
            <w:pPr>
              <w:pStyle w:val="null3"/>
              <w:ind w:firstLine="482"/>
              <w:jc w:val="both"/>
            </w:pPr>
            <w:r>
              <w:rPr>
                <w:rFonts w:ascii="仿宋_GB2312" w:hAnsi="仿宋_GB2312" w:cs="仿宋_GB2312" w:eastAsia="仿宋_GB2312"/>
                <w:sz w:val="24"/>
                <w:b/>
                <w:color w:val="000000"/>
              </w:rPr>
              <w:t>二、服务内容（包括工作区域、工作内容等）</w:t>
            </w:r>
          </w:p>
          <w:p>
            <w:pPr>
              <w:pStyle w:val="null3"/>
              <w:ind w:firstLine="480"/>
              <w:jc w:val="both"/>
            </w:pPr>
            <w:r>
              <w:rPr>
                <w:rFonts w:ascii="仿宋_GB2312" w:hAnsi="仿宋_GB2312" w:cs="仿宋_GB2312" w:eastAsia="仿宋_GB2312"/>
                <w:sz w:val="24"/>
                <w:color w:val="000000"/>
              </w:rPr>
              <w:t>（一）工作区域</w:t>
            </w:r>
          </w:p>
          <w:p>
            <w:pPr>
              <w:pStyle w:val="null3"/>
              <w:ind w:firstLine="480"/>
              <w:jc w:val="both"/>
            </w:pPr>
            <w:r>
              <w:rPr>
                <w:rFonts w:ascii="仿宋_GB2312" w:hAnsi="仿宋_GB2312" w:cs="仿宋_GB2312" w:eastAsia="仿宋_GB2312"/>
                <w:sz w:val="24"/>
                <w:color w:val="000000"/>
              </w:rPr>
              <w:t>西安市</w:t>
            </w:r>
            <w:r>
              <w:rPr>
                <w:rFonts w:ascii="仿宋_GB2312" w:hAnsi="仿宋_GB2312" w:cs="仿宋_GB2312" w:eastAsia="仿宋_GB2312"/>
                <w:sz w:val="24"/>
                <w:color w:val="000000"/>
              </w:rPr>
              <w:t>13个区县及西咸新区（直管区）咸阳部分</w:t>
            </w:r>
          </w:p>
          <w:p>
            <w:pPr>
              <w:pStyle w:val="null3"/>
              <w:ind w:firstLine="480"/>
              <w:jc w:val="both"/>
            </w:pPr>
            <w:r>
              <w:rPr>
                <w:rFonts w:ascii="仿宋_GB2312" w:hAnsi="仿宋_GB2312" w:cs="仿宋_GB2312" w:eastAsia="仿宋_GB2312"/>
                <w:sz w:val="24"/>
                <w:color w:val="000000"/>
              </w:rPr>
              <w:t>（二）工作内容</w:t>
            </w:r>
          </w:p>
          <w:p>
            <w:pPr>
              <w:pStyle w:val="null3"/>
              <w:ind w:firstLine="480"/>
              <w:jc w:val="both"/>
            </w:pPr>
            <w:r>
              <w:rPr>
                <w:rFonts w:ascii="仿宋_GB2312" w:hAnsi="仿宋_GB2312" w:cs="仿宋_GB2312" w:eastAsia="仿宋_GB2312"/>
                <w:sz w:val="24"/>
                <w:color w:val="000000"/>
              </w:rPr>
              <w:t>1、市级核查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1）内业全面核查</w:t>
            </w:r>
          </w:p>
          <w:p>
            <w:pPr>
              <w:pStyle w:val="null3"/>
              <w:ind w:firstLine="480"/>
              <w:jc w:val="both"/>
            </w:pPr>
            <w:r>
              <w:rPr>
                <w:rFonts w:ascii="仿宋_GB2312" w:hAnsi="仿宋_GB2312" w:cs="仿宋_GB2312" w:eastAsia="仿宋_GB2312"/>
                <w:sz w:val="24"/>
                <w:color w:val="000000"/>
              </w:rPr>
              <w:t>结合相关资料，对森林草原湿地荒漠图斑地类、边界、资源属性等开展全面核查。对发现的疑似错误图斑，反馈区县内业整改或外业核实补充举证，并对整改成果开展市级内业复核。</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2）数据库质检</w:t>
            </w:r>
          </w:p>
          <w:p>
            <w:pPr>
              <w:pStyle w:val="null3"/>
              <w:ind w:firstLine="480"/>
              <w:jc w:val="both"/>
            </w:pPr>
            <w:r>
              <w:rPr>
                <w:rFonts w:ascii="仿宋_GB2312" w:hAnsi="仿宋_GB2312" w:cs="仿宋_GB2312" w:eastAsia="仿宋_GB2312"/>
                <w:sz w:val="24"/>
                <w:color w:val="000000"/>
              </w:rPr>
              <w:t>使用统一的数据库质量检查软件，按照数据库质检规则，对数据库成果进行质量检查，不合格的成果反馈区县修改完善，确保调查成果的质量。对于未通过市级核查的变化图斑，当天反馈，要求区县开展进一步核实举证和整改工作。</w:t>
            </w:r>
          </w:p>
          <w:p>
            <w:pPr>
              <w:pStyle w:val="null3"/>
              <w:ind w:firstLine="480"/>
              <w:jc w:val="both"/>
            </w:pPr>
            <w:r>
              <w:rPr>
                <w:rFonts w:ascii="仿宋_GB2312" w:hAnsi="仿宋_GB2312" w:cs="仿宋_GB2312" w:eastAsia="仿宋_GB2312"/>
                <w:sz w:val="24"/>
                <w:color w:val="000000"/>
              </w:rPr>
              <w:t>2、市级汇总</w:t>
            </w:r>
          </w:p>
          <w:p>
            <w:pPr>
              <w:pStyle w:val="null3"/>
              <w:ind w:firstLine="480"/>
              <w:jc w:val="both"/>
            </w:pPr>
            <w:r>
              <w:rPr>
                <w:rFonts w:ascii="仿宋_GB2312" w:hAnsi="仿宋_GB2312" w:cs="仿宋_GB2312" w:eastAsia="仿宋_GB2312"/>
                <w:sz w:val="24"/>
                <w:color w:val="000000"/>
              </w:rPr>
              <w:t>根据检查通过的县级</w:t>
            </w:r>
            <w:r>
              <w:rPr>
                <w:rFonts w:ascii="仿宋_GB2312" w:hAnsi="仿宋_GB2312" w:cs="仿宋_GB2312" w:eastAsia="仿宋_GB2312"/>
                <w:sz w:val="24"/>
                <w:color w:val="000000"/>
              </w:rPr>
              <w:t>2025年度森林草原湿地荒漠调查监测成果，汇总市级各项表格，并对数据进行分析，形成全市森林草原湿地荒漠情况分析报告</w:t>
            </w:r>
          </w:p>
          <w:p>
            <w:pPr>
              <w:pStyle w:val="null3"/>
              <w:ind w:firstLine="482"/>
              <w:jc w:val="both"/>
            </w:pPr>
            <w:r>
              <w:rPr>
                <w:rFonts w:ascii="仿宋_GB2312" w:hAnsi="仿宋_GB2312" w:cs="仿宋_GB2312" w:eastAsia="仿宋_GB2312"/>
                <w:sz w:val="24"/>
                <w:b/>
                <w:color w:val="000000"/>
              </w:rPr>
              <w:t>三、技术要求</w:t>
            </w:r>
          </w:p>
          <w:p>
            <w:pPr>
              <w:pStyle w:val="null3"/>
              <w:ind w:firstLine="480"/>
              <w:jc w:val="both"/>
            </w:pPr>
            <w:r>
              <w:rPr>
                <w:rFonts w:ascii="仿宋_GB2312" w:hAnsi="仿宋_GB2312" w:cs="仿宋_GB2312" w:eastAsia="仿宋_GB2312"/>
                <w:sz w:val="24"/>
                <w:color w:val="000000"/>
              </w:rPr>
              <w:t>服务成果应符合下列文件、规范和规程要求：</w:t>
            </w:r>
          </w:p>
          <w:p>
            <w:pPr>
              <w:pStyle w:val="null3"/>
              <w:ind w:firstLine="480"/>
              <w:jc w:val="both"/>
            </w:pPr>
            <w:r>
              <w:rPr>
                <w:rFonts w:ascii="仿宋_GB2312" w:hAnsi="仿宋_GB2312" w:cs="仿宋_GB2312" w:eastAsia="仿宋_GB2312"/>
                <w:sz w:val="24"/>
                <w:color w:val="000000"/>
              </w:rPr>
              <w:t>1.《自然资源部办公厅 国家林业和草原局办公室关于开展2025年度全国国土变更调查及森林草原湿地荒漠调查监测工作的通知》（自然资办发〔2025〕33号）</w:t>
            </w:r>
          </w:p>
          <w:p>
            <w:pPr>
              <w:pStyle w:val="null3"/>
              <w:ind w:firstLine="480"/>
              <w:jc w:val="both"/>
            </w:pPr>
            <w:r>
              <w:rPr>
                <w:rFonts w:ascii="仿宋_GB2312" w:hAnsi="仿宋_GB2312" w:cs="仿宋_GB2312" w:eastAsia="仿宋_GB2312"/>
                <w:sz w:val="24"/>
                <w:color w:val="000000"/>
              </w:rPr>
              <w:t>2.《2025年度全国国土变更调查及森林草原湿地荒漠调查监测实施方案》</w:t>
            </w:r>
          </w:p>
          <w:p>
            <w:pPr>
              <w:pStyle w:val="null3"/>
              <w:ind w:firstLine="480"/>
              <w:jc w:val="both"/>
            </w:pPr>
            <w:r>
              <w:rPr>
                <w:rFonts w:ascii="仿宋_GB2312" w:hAnsi="仿宋_GB2312" w:cs="仿宋_GB2312" w:eastAsia="仿宋_GB2312"/>
                <w:sz w:val="24"/>
                <w:color w:val="000000"/>
              </w:rPr>
              <w:t>3.《森林草原湿地荒漠调查监测技术要求》（2025年度适用）</w:t>
            </w:r>
          </w:p>
          <w:p>
            <w:pPr>
              <w:pStyle w:val="null3"/>
              <w:ind w:firstLine="480"/>
              <w:jc w:val="both"/>
            </w:pPr>
            <w:r>
              <w:rPr>
                <w:rFonts w:ascii="仿宋_GB2312" w:hAnsi="仿宋_GB2312" w:cs="仿宋_GB2312" w:eastAsia="仿宋_GB2312"/>
                <w:sz w:val="24"/>
                <w:color w:val="000000"/>
              </w:rPr>
              <w:t>4.《2024年度国土变更调查工作分类》</w:t>
            </w:r>
          </w:p>
          <w:p>
            <w:pPr>
              <w:pStyle w:val="null3"/>
              <w:ind w:firstLine="480"/>
              <w:jc w:val="both"/>
            </w:pPr>
            <w:r>
              <w:rPr>
                <w:rFonts w:ascii="仿宋_GB2312" w:hAnsi="仿宋_GB2312" w:cs="仿宋_GB2312" w:eastAsia="仿宋_GB2312"/>
                <w:sz w:val="24"/>
                <w:color w:val="000000"/>
              </w:rPr>
              <w:t>5.《陕西省自然资源厅 陕西省林业局关于做好2025年度国土变更调查及森林草原湿地荒漠调查监测工作的通知》</w:t>
            </w:r>
          </w:p>
          <w:p>
            <w:pPr>
              <w:pStyle w:val="null3"/>
              <w:ind w:firstLine="482"/>
              <w:jc w:val="both"/>
            </w:pPr>
            <w:r>
              <w:rPr>
                <w:rFonts w:ascii="仿宋_GB2312" w:hAnsi="仿宋_GB2312" w:cs="仿宋_GB2312" w:eastAsia="仿宋_GB2312"/>
                <w:sz w:val="24"/>
                <w:b/>
                <w:color w:val="000000"/>
              </w:rPr>
              <w:t>四、服务要求</w:t>
            </w:r>
          </w:p>
          <w:p>
            <w:pPr>
              <w:pStyle w:val="null3"/>
              <w:ind w:firstLine="480"/>
              <w:jc w:val="both"/>
            </w:pPr>
            <w:r>
              <w:rPr>
                <w:rFonts w:ascii="仿宋_GB2312" w:hAnsi="仿宋_GB2312" w:cs="仿宋_GB2312" w:eastAsia="仿宋_GB2312"/>
                <w:sz w:val="24"/>
                <w:color w:val="000000"/>
              </w:rPr>
              <w:t>（一）服务商须拥有丰富的调查类经验，拥有专业的技术团队。</w:t>
            </w:r>
          </w:p>
          <w:p>
            <w:pPr>
              <w:pStyle w:val="null3"/>
              <w:ind w:firstLine="480"/>
              <w:jc w:val="both"/>
            </w:pPr>
            <w:r>
              <w:rPr>
                <w:rFonts w:ascii="仿宋_GB2312" w:hAnsi="仿宋_GB2312" w:cs="仿宋_GB2312" w:eastAsia="仿宋_GB2312"/>
                <w:sz w:val="24"/>
                <w:color w:val="000000"/>
              </w:rPr>
              <w:t>（二）服务商须精心组建项目团队，确定项目负责人。项目负责人必须是该项目实施全过程的真正组织者和指导者，并担负项目成果审查工作，需及时反映审核工作的实时进度情况。挂名或不担负成果审查工作的，不得作为项目负责人。</w:t>
            </w:r>
          </w:p>
          <w:p>
            <w:pPr>
              <w:pStyle w:val="null3"/>
              <w:ind w:firstLine="480"/>
              <w:jc w:val="both"/>
            </w:pPr>
            <w:r>
              <w:rPr>
                <w:rFonts w:ascii="仿宋_GB2312" w:hAnsi="仿宋_GB2312" w:cs="仿宋_GB2312" w:eastAsia="仿宋_GB2312"/>
                <w:sz w:val="24"/>
                <w:color w:val="000000"/>
              </w:rPr>
              <w:t>（三）项目拟投入人员至少</w:t>
            </w:r>
            <w:r>
              <w:rPr>
                <w:rFonts w:ascii="仿宋_GB2312" w:hAnsi="仿宋_GB2312" w:cs="仿宋_GB2312" w:eastAsia="仿宋_GB2312"/>
                <w:sz w:val="24"/>
                <w:color w:val="000000"/>
              </w:rPr>
              <w:t>10人，项目组成员须有较强的政治素质和业务素质，具有较高的理论素养和分析解决问题的能力。</w:t>
            </w:r>
          </w:p>
          <w:p>
            <w:pPr>
              <w:pStyle w:val="null3"/>
              <w:ind w:firstLine="480"/>
              <w:jc w:val="both"/>
            </w:pPr>
            <w:r>
              <w:rPr>
                <w:rFonts w:ascii="仿宋_GB2312" w:hAnsi="仿宋_GB2312" w:cs="仿宋_GB2312" w:eastAsia="仿宋_GB2312"/>
                <w:sz w:val="24"/>
                <w:color w:val="000000"/>
              </w:rPr>
              <w:t>（四）项目组成员熟悉林草湿荒调查监测的相关技术要求和标准规范，了解各地类的认定原则、指标情况。</w:t>
            </w:r>
          </w:p>
          <w:p>
            <w:pPr>
              <w:pStyle w:val="null3"/>
              <w:ind w:firstLine="480"/>
              <w:jc w:val="both"/>
            </w:pPr>
            <w:r>
              <w:rPr>
                <w:rFonts w:ascii="仿宋_GB2312" w:hAnsi="仿宋_GB2312" w:cs="仿宋_GB2312" w:eastAsia="仿宋_GB2312"/>
                <w:sz w:val="24"/>
                <w:color w:val="000000"/>
              </w:rPr>
              <w:t>（五）配备专业的仪器，包括台式机电脑、笔记本电脑、硬盘、核查软件、建库软件、举证软件等，从数量、质量及其先进可靠性等方面能够满足本项目需求。</w:t>
            </w:r>
          </w:p>
          <w:p>
            <w:pPr>
              <w:pStyle w:val="null3"/>
              <w:ind w:firstLine="480"/>
              <w:jc w:val="both"/>
            </w:pPr>
            <w:r>
              <w:rPr>
                <w:rFonts w:ascii="仿宋_GB2312" w:hAnsi="仿宋_GB2312" w:cs="仿宋_GB2312" w:eastAsia="仿宋_GB2312"/>
                <w:sz w:val="24"/>
                <w:color w:val="000000"/>
              </w:rPr>
              <w:t>（六）服务商对项目相关的数据和资料保密，未经许可不得泄露。</w:t>
            </w:r>
          </w:p>
          <w:p>
            <w:pPr>
              <w:pStyle w:val="null3"/>
              <w:jc w:val="both"/>
            </w:pPr>
            <w:r>
              <w:rPr>
                <w:rFonts w:ascii="仿宋_GB2312" w:hAnsi="仿宋_GB2312" w:cs="仿宋_GB2312" w:eastAsia="仿宋_GB2312"/>
                <w:sz w:val="24"/>
                <w:color w:val="000000"/>
              </w:rPr>
              <w:t>服务商按照时间要求按期完成相关审核和汇总工作</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五、商务要求</w:t>
            </w:r>
          </w:p>
          <w:p>
            <w:pPr>
              <w:pStyle w:val="null3"/>
              <w:ind w:firstLine="480"/>
            </w:pPr>
            <w:r>
              <w:rPr>
                <w:rFonts w:ascii="仿宋_GB2312" w:hAnsi="仿宋_GB2312" w:cs="仿宋_GB2312" w:eastAsia="仿宋_GB2312"/>
                <w:sz w:val="24"/>
                <w:color w:val="000000"/>
              </w:rPr>
              <w:t>（一）服务期限</w:t>
            </w:r>
          </w:p>
          <w:p>
            <w:pPr>
              <w:pStyle w:val="null3"/>
              <w:ind w:firstLine="480"/>
            </w:pPr>
            <w:r>
              <w:rPr>
                <w:rFonts w:ascii="仿宋_GB2312" w:hAnsi="仿宋_GB2312" w:cs="仿宋_GB2312" w:eastAsia="仿宋_GB2312"/>
                <w:sz w:val="24"/>
                <w:color w:val="000000"/>
              </w:rPr>
              <w:t>自合同签订之日起至成果通过国家林草局、省林业局核查。</w:t>
            </w:r>
          </w:p>
          <w:p>
            <w:pPr>
              <w:pStyle w:val="null3"/>
              <w:ind w:firstLine="480"/>
            </w:pPr>
            <w:r>
              <w:rPr>
                <w:rFonts w:ascii="仿宋_GB2312" w:hAnsi="仿宋_GB2312" w:cs="仿宋_GB2312" w:eastAsia="仿宋_GB2312"/>
                <w:sz w:val="24"/>
                <w:color w:val="000000"/>
              </w:rPr>
              <w:t>（二）款项结算</w:t>
            </w:r>
          </w:p>
          <w:p>
            <w:pPr>
              <w:pStyle w:val="null3"/>
              <w:ind w:firstLine="480"/>
            </w:pPr>
            <w:r>
              <w:rPr>
                <w:rFonts w:ascii="仿宋_GB2312" w:hAnsi="仿宋_GB2312" w:cs="仿宋_GB2312" w:eastAsia="仿宋_GB2312"/>
                <w:sz w:val="24"/>
                <w:color w:val="000000"/>
              </w:rPr>
              <w:t>一次性付款，合同签订后</w:t>
            </w:r>
            <w:r>
              <w:rPr>
                <w:rFonts w:ascii="仿宋_GB2312" w:hAnsi="仿宋_GB2312" w:cs="仿宋_GB2312" w:eastAsia="仿宋_GB2312"/>
                <w:sz w:val="24"/>
                <w:color w:val="000000"/>
              </w:rPr>
              <w:t>10日内支付合同总价款。</w:t>
            </w:r>
          </w:p>
          <w:p>
            <w:pPr>
              <w:pStyle w:val="null3"/>
              <w:ind w:firstLine="482"/>
            </w:pPr>
            <w:r>
              <w:rPr>
                <w:rFonts w:ascii="仿宋_GB2312" w:hAnsi="仿宋_GB2312" w:cs="仿宋_GB2312" w:eastAsia="仿宋_GB2312"/>
                <w:sz w:val="24"/>
                <w:b/>
                <w:color w:val="000000"/>
              </w:rPr>
              <w:t>六、其他</w:t>
            </w:r>
          </w:p>
          <w:p>
            <w:pPr>
              <w:pStyle w:val="null3"/>
              <w:ind w:firstLine="480"/>
            </w:pPr>
            <w:r>
              <w:rPr>
                <w:rFonts w:ascii="仿宋_GB2312" w:hAnsi="仿宋_GB2312" w:cs="仿宋_GB2312" w:eastAsia="仿宋_GB2312"/>
                <w:sz w:val="24"/>
                <w:color w:val="000000"/>
              </w:rPr>
              <w:t>（一）技术服务单位需配合完成采购人安排的与本项目有关的其他事项。</w:t>
            </w:r>
          </w:p>
          <w:p>
            <w:pPr>
              <w:pStyle w:val="null3"/>
              <w:ind w:firstLine="480"/>
            </w:pPr>
            <w:r>
              <w:rPr>
                <w:rFonts w:ascii="仿宋_GB2312" w:hAnsi="仿宋_GB2312" w:cs="仿宋_GB2312" w:eastAsia="仿宋_GB2312"/>
                <w:sz w:val="24"/>
                <w:color w:val="000000"/>
              </w:rPr>
              <w:t>（二）进度要求</w:t>
            </w:r>
          </w:p>
          <w:p>
            <w:pPr>
              <w:pStyle w:val="null3"/>
              <w:ind w:firstLine="480"/>
            </w:pPr>
            <w:r>
              <w:rPr>
                <w:rFonts w:ascii="仿宋_GB2312" w:hAnsi="仿宋_GB2312" w:cs="仿宋_GB2312" w:eastAsia="仿宋_GB2312"/>
                <w:sz w:val="24"/>
                <w:color w:val="000000"/>
              </w:rPr>
              <w:t>1.技术服务单位应定期向采购人提供项目工作进度。</w:t>
            </w:r>
          </w:p>
          <w:p>
            <w:pPr>
              <w:pStyle w:val="null3"/>
              <w:ind w:firstLine="480"/>
            </w:pPr>
            <w:r>
              <w:rPr>
                <w:rFonts w:ascii="仿宋_GB2312" w:hAnsi="仿宋_GB2312" w:cs="仿宋_GB2312" w:eastAsia="仿宋_GB2312"/>
                <w:sz w:val="24"/>
                <w:color w:val="000000"/>
              </w:rPr>
              <w:t>2.采购人根据实际需要，对项目进展情况不定期听取汇报。</w:t>
            </w:r>
          </w:p>
          <w:p>
            <w:pPr>
              <w:pStyle w:val="null3"/>
              <w:ind w:firstLine="480"/>
            </w:pPr>
            <w:r>
              <w:rPr>
                <w:rFonts w:ascii="仿宋_GB2312" w:hAnsi="仿宋_GB2312" w:cs="仿宋_GB2312" w:eastAsia="仿宋_GB2312"/>
                <w:sz w:val="24"/>
                <w:color w:val="000000"/>
              </w:rPr>
              <w:t>（三）成果产出</w:t>
            </w:r>
          </w:p>
          <w:p>
            <w:pPr>
              <w:pStyle w:val="null3"/>
              <w:ind w:firstLine="480"/>
            </w:pPr>
            <w:r>
              <w:rPr>
                <w:rFonts w:ascii="仿宋_GB2312" w:hAnsi="仿宋_GB2312" w:cs="仿宋_GB2312" w:eastAsia="仿宋_GB2312"/>
                <w:sz w:val="24"/>
                <w:color w:val="000000"/>
              </w:rPr>
              <w:t>1.数据成果</w:t>
            </w:r>
          </w:p>
          <w:p>
            <w:pPr>
              <w:pStyle w:val="null3"/>
              <w:ind w:firstLine="480"/>
            </w:pPr>
            <w:r>
              <w:rPr>
                <w:rFonts w:ascii="仿宋_GB2312" w:hAnsi="仿宋_GB2312" w:cs="仿宋_GB2312" w:eastAsia="仿宋_GB2312"/>
                <w:sz w:val="24"/>
                <w:color w:val="000000"/>
              </w:rPr>
              <w:t>数据库成果。包括更新后的市级数据库，以及各类统计汇总表。</w:t>
            </w:r>
          </w:p>
          <w:p>
            <w:pPr>
              <w:pStyle w:val="null3"/>
              <w:ind w:firstLine="480"/>
            </w:pPr>
            <w:r>
              <w:rPr>
                <w:rFonts w:ascii="仿宋_GB2312" w:hAnsi="仿宋_GB2312" w:cs="仿宋_GB2312" w:eastAsia="仿宋_GB2312"/>
                <w:sz w:val="24"/>
                <w:color w:val="000000"/>
              </w:rPr>
              <w:t>2.文字成果</w:t>
            </w:r>
          </w:p>
          <w:p>
            <w:pPr>
              <w:pStyle w:val="null3"/>
              <w:ind w:firstLine="480"/>
            </w:pPr>
            <w:r>
              <w:rPr>
                <w:rFonts w:ascii="仿宋_GB2312" w:hAnsi="仿宋_GB2312" w:cs="仿宋_GB2312" w:eastAsia="仿宋_GB2312"/>
                <w:sz w:val="24"/>
                <w:color w:val="000000"/>
              </w:rPr>
              <w:t>西安市森林草原湿地荒漠情况分析报告。</w:t>
            </w:r>
          </w:p>
          <w:p>
            <w:pPr>
              <w:pStyle w:val="null3"/>
              <w:ind w:firstLine="480"/>
            </w:pPr>
            <w:r>
              <w:rPr>
                <w:rFonts w:ascii="仿宋_GB2312" w:hAnsi="仿宋_GB2312" w:cs="仿宋_GB2312" w:eastAsia="仿宋_GB2312"/>
                <w:sz w:val="24"/>
                <w:color w:val="000000"/>
              </w:rPr>
              <w:t>（四）质量验收标准或规范</w:t>
            </w:r>
          </w:p>
          <w:p>
            <w:pPr>
              <w:pStyle w:val="null3"/>
            </w:pPr>
            <w:r>
              <w:rPr>
                <w:rFonts w:ascii="仿宋_GB2312" w:hAnsi="仿宋_GB2312" w:cs="仿宋_GB2312" w:eastAsia="仿宋_GB2312"/>
                <w:sz w:val="24"/>
                <w:color w:val="000000"/>
              </w:rPr>
              <w:t xml:space="preserve">   在</w:t>
            </w:r>
            <w:r>
              <w:rPr>
                <w:rFonts w:ascii="仿宋_GB2312" w:hAnsi="仿宋_GB2312" w:cs="仿宋_GB2312" w:eastAsia="仿宋_GB2312"/>
                <w:sz w:val="24"/>
                <w:color w:val="000000"/>
              </w:rPr>
              <w:t>2026年5月底之前完成验收，成果质量符合国省相关要求。</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自合同签订之日起至成果通过国家林草局、省林业局核查。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达到付款条件并准备结算前，成交人须开具等额发票给采购人，采购人收到发票后，按照支付约定结算。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委托授权书\身份证明：法定代表人授权书及被授权人身份证（法定代表人直接参加磋商的须提供其法定代表人身份证），非法人单位参照执行。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法定代表人证明书及法定代表人授权书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供应商须具备测绘乙级以上（含乙级）资质；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供应商项目负责人须具有测绘类中级以上（含中级）职称或注册测绘师证书；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本项目专门面向中小微企业采购，须符合《政府采购促进中小企业发展管理办法》（财库〔2020〕46号）规定的中小微企业参加，符合要求的监狱企业或残疾人福利单位视同小微企业，并按要求提供声明函。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商务偏离表 法定代表人证明书及法定代表人授权书 服务需求响应表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资格证明文件 首轮报价表 分项报价表 磋商响应单位承诺书 分项报价明细表 响应函 法定代表人证明书及法定代表人授权书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资格证明文件 类似项目业绩 首轮报价表 分项报价表 商务偏离表 磋商响应单位承诺书 分项报价明细表 响应函 法定代表人证明书及法定代表人授权书 服务需求响应表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报价未超过磋商文件中规定的（采购预算）最高限价的</w:t>
            </w:r>
          </w:p>
        </w:tc>
        <w:tc>
          <w:tcPr>
            <w:tcW w:type="dxa" w:w="1661"/>
          </w:tcPr>
          <w:p>
            <w:pPr>
              <w:pStyle w:val="null3"/>
            </w:pPr>
            <w:r>
              <w:rPr>
                <w:rFonts w:ascii="仿宋_GB2312" w:hAnsi="仿宋_GB2312" w:cs="仿宋_GB2312" w:eastAsia="仿宋_GB2312"/>
              </w:rPr>
              <w:t>首轮报价表 分项报价表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根据供应商对项目的背景、目的、内容与时间要求等的理解程度进行评分。 1.需求分析方案全面、合理、规范，可操作性强得7分； 2.需求分析方案比较合理和规范，有较强的可操作性得5分； 3.需求分析方案基本合理，有一定的可操作性得3分； 4.需求分析方案有缺漏，可操作性差得1分； 5.未提供方案不得分。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根据供应商提供完善的满足采购需求的实施方案进行评分。 1.方案全面、合理、规范，可操作性强得10分； 2.方案比较合理和规范，有较强的可操作性得8分； 3.方案基本合理，有一定的可操作性得6分； 4.方案宽泛，可操作性不强得4分； 5.方案有缺漏，可操作性差得2分；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根据供应商提供完善的工作质量保障措施进行评分。 1.方案全面、合理、规范，可操作性强得8分； 2.方案比较合理和规范，有较强的可操作性得6分； 3.方案基本合理，有一定的可操作性得4分； 4.方案宽泛，可操作性不强得2分； 5.未提供方案不得分。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根据供应商配备专业的仪器设备，从数量、质量及其先进可靠性等方面进行评分。 1.方案全面、合理、规范，可操作性强得5分； 2.方案基本合理，有一定的可操作性得3分； 3.方案有缺漏，可操作性差得1分； 4.未提供方案不得分。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对本项目重难点的分析，以及相应的规划对策和控制措施进行评分。 1.方案全面、合理、规范，可操作性强得9分； 2.方案比较合理和规范，有较强的可操作性得7分； 3.方案基本合理，有一定的可操作性得5分； 4.方案宽泛，可操作性不强得3分； 5.方案有缺漏，可操作性差得1分； 6.未提供方案不得分。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根据供应商针对本项目具体情况提出的合理化建议进行评分。内容科学可行，有针对性且内容丰富。 1.方案全面、合理、规范，可操作性强得7分； 2.方案比较合理和规范，有较强的可操作性得5分； 3.方案基本合理，有一定的可操作性得3分； 4.方案有缺漏，可操作性差得1分； 5.未提供方案不得分。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根据供应商对本项目的工作进度安排进行评分。 1.方案全面、合理、规范，可操作性强得9分； 2.方案比较合理和规范，有较强的可操作性得7分； 3.方案基本合理，有一定的可操作性得5分； 4.方案宽泛，可操作性不强得3分； 5.方案有缺漏，可操作性差得1分； 6.未提供方案不得分。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针对预期成果分类是否合理、内容是否齐全、成果描述具体是否详实进行评分。 1.方案全面、合理、规范，可操作性强得5分； 2.方案基本合理，有一定的可操作性得3分； 3.方案有缺漏，可操作性差得1分； 4.未提供方案不得分。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根据供应商对采购人实际需求提供保证服务的承诺进行评分。 1.服务承诺方案全面、合理、规范，可操作性强得7分； 2.服务承诺方案比较合理和规范，有较强的可操作性得5分； 3.服务承诺方案基本合理，有一定的可操作性得3分； 4.服务承诺方案有缺漏，可操作性差得1分； 5.未提供方案不得分。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数据保密与安全措施</w:t>
            </w:r>
          </w:p>
        </w:tc>
        <w:tc>
          <w:tcPr>
            <w:tcW w:type="dxa" w:w="2492"/>
          </w:tcPr>
          <w:p>
            <w:pPr>
              <w:pStyle w:val="null3"/>
            </w:pPr>
            <w:r>
              <w:rPr>
                <w:rFonts w:ascii="仿宋_GB2312" w:hAnsi="仿宋_GB2312" w:cs="仿宋_GB2312" w:eastAsia="仿宋_GB2312"/>
              </w:rPr>
              <w:t>根据供应商对数据安全保障方案安排合理性进行评分。 1.方案全面、合理、规范，可操作性强得5分； 2.方案基本合理，有一定的可操作性得3分； 3.方案有缺漏，可操作性差得1分； 4.未提供方案不得分。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拟投入人员配备方案</w:t>
            </w:r>
          </w:p>
        </w:tc>
        <w:tc>
          <w:tcPr>
            <w:tcW w:type="dxa" w:w="2492"/>
          </w:tcPr>
          <w:p>
            <w:pPr>
              <w:pStyle w:val="null3"/>
            </w:pPr>
            <w:r>
              <w:rPr>
                <w:rFonts w:ascii="仿宋_GB2312" w:hAnsi="仿宋_GB2312" w:cs="仿宋_GB2312" w:eastAsia="仿宋_GB2312"/>
              </w:rPr>
              <w:t>所配备项目团队，不得少于10人，能够全面掌握核查规则及要求。拟投入本项目的人员(除项目负责人以外)中（包含但不限于测绘、规划、地理信息系统等）中级及以上工程师职称的，每提供一个加1分，最多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供应商以合同形式提供自2022年1月1日以来类似项目业绩，每提供一个得2分，最高得10分。（提供合同复印件并加盖供应商公章）。未提供不得分。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采用低价优先法计算，即满足磋商文件要求且磋商报价（最终报价）最低的磋商报价为评标基准价，其价格分为满分。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详见附件：服务需求响应表</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