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版本号：HRC-ZBDL-2025-0178620251124001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秦岭终南山世界地质公园标识牌设计制作及安装（南五台、太平、蓝田猿人遗址景区）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HRC-ZBDL-2025-01786</w:t>
      </w:r>
      <w:r>
        <w:br/>
      </w:r>
      <w:r>
        <w:br/>
      </w:r>
      <w:r>
        <w:br/>
      </w:r>
    </w:p>
    <w:p>
      <w:pPr>
        <w:pStyle w:val="null3"/>
        <w:jc w:val="center"/>
        <w:outlineLvl w:val="2"/>
      </w:pPr>
      <w:r>
        <w:rPr>
          <w:rFonts w:ascii="仿宋_GB2312" w:hAnsi="仿宋_GB2312" w:cs="仿宋_GB2312" w:eastAsia="仿宋_GB2312"/>
          <w:sz w:val="28"/>
          <w:b/>
        </w:rPr>
        <w:t>秦岭终南山世界地质公园管理中心</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秦岭终南山世界地质公园管理中心</w:t>
      </w:r>
      <w:r>
        <w:rPr>
          <w:rFonts w:ascii="仿宋_GB2312" w:hAnsi="仿宋_GB2312" w:cs="仿宋_GB2312" w:eastAsia="仿宋_GB2312"/>
        </w:rPr>
        <w:t>委托，拟对</w:t>
      </w:r>
      <w:r>
        <w:rPr>
          <w:rFonts w:ascii="仿宋_GB2312" w:hAnsi="仿宋_GB2312" w:cs="仿宋_GB2312" w:eastAsia="仿宋_GB2312"/>
        </w:rPr>
        <w:t>秦岭终南山世界地质公园标识牌设计制作及安装（南五台、太平、蓝田猿人遗址景区）</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HRC-ZBDL-2025-01786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秦岭终南山世界地质公园标识牌设计制作及安装（南五台、太平、蓝田猿人遗址景区）</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秦岭终南山世界地质公园标识牌设计制作及安装（南五台、太平、蓝田猿人遗址景区）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采购包1（秦岭终南山世界地质公园标识牌设计制作及安装（南五台、太平、蓝田猿人遗址景区））：属于专门面向中小企业采购。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委托书：法定代表人授权委托书（附法定代表人身份证复印件及被授权人身份证复印件）；法定代表人直接参加投标只须提供法定代表人资格证明书（附法定代表人身份证复印件）；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秦岭终南山世界地质公园管理中心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劳动南路178号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029-84266178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15339222652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中华人民共和国国家计划委员会【计价格［2002］1980号】招标代理服务收费管理暂行办法和国家发展改革委关于降低部分建设项目收费标准规范收费行为等有关问题的通知【发改价格[2011]534号】文件，按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秦岭终南山世界地质公园管理中心</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秦岭终南山世界地质公园管理中心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秦岭终南山世界地质公园管理中心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符合《中华人民共和国民法典》、《中华人民共和国政府采购法》的相关条款和本合同约定执行。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联系电话：15339222652</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1,340,000.00</w:t>
      </w:r>
    </w:p>
    <w:p>
      <w:pPr>
        <w:pStyle w:val="null3"/>
      </w:pPr>
      <w:r>
        <w:rPr>
          <w:rFonts w:ascii="仿宋_GB2312" w:hAnsi="仿宋_GB2312" w:cs="仿宋_GB2312" w:eastAsia="仿宋_GB2312"/>
        </w:rPr>
        <w:t>采购包最高限价（元）: 1,340,000.00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秦岭终南山世界地质公园标识牌设计制作及安装</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标的名称：秦岭终南山世界地质公园标识牌设计制作及安装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2"/>
              </w:rPr>
              <w:t>一、采购清单</w:t>
            </w:r>
          </w:p>
          <w:tbl>
            <w:tblPr>
              <w:tblBorders>
                <w:top w:val="none" w:color="000000" w:sz="4"/>
                <w:left w:val="none" w:color="000000" w:sz="4"/>
                <w:bottom w:val="none" w:color="000000" w:sz="4"/>
                <w:right w:val="none" w:color="000000" w:sz="4"/>
                <w:insideH w:val="none"/>
                <w:insideV w:val="none"/>
              </w:tblBorders>
            </w:tblPr>
            <w:tblGrid>
              <w:gridCol w:w="739"/>
              <w:gridCol w:w="684"/>
              <w:gridCol w:w="3674"/>
            </w:tblGrid>
            <w:tr>
              <w:tc>
                <w:tcPr>
                  <w:tcW w:type="dxa" w:w="7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类型</w:t>
                  </w: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r>
                    <w:rPr>
                      <w:rFonts w:ascii="仿宋_GB2312" w:hAnsi="仿宋_GB2312" w:cs="仿宋_GB2312" w:eastAsia="仿宋_GB2312"/>
                      <w:sz w:val="24"/>
                      <w:b/>
                    </w:rPr>
                    <w:t>（</w:t>
                  </w:r>
                  <w:r>
                    <w:rPr>
                      <w:rFonts w:ascii="仿宋_GB2312" w:hAnsi="仿宋_GB2312" w:cs="仿宋_GB2312" w:eastAsia="仿宋_GB2312"/>
                      <w:sz w:val="24"/>
                      <w:b/>
                    </w:rPr>
                    <w:t>块）</w:t>
                  </w:r>
                </w:p>
              </w:tc>
              <w:tc>
                <w:tcPr>
                  <w:tcW w:type="dxa" w:w="3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设计内容详细</w:t>
                  </w:r>
                  <w:r>
                    <w:rPr>
                      <w:rFonts w:ascii="仿宋_GB2312" w:hAnsi="仿宋_GB2312" w:cs="仿宋_GB2312" w:eastAsia="仿宋_GB2312"/>
                      <w:sz w:val="24"/>
                      <w:b/>
                    </w:rPr>
                    <w:t>要求</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综合说明牌</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2"/>
                    </w:rPr>
                    <w:t>公园总览图（综合说明牌）</w:t>
                  </w:r>
                  <w:r>
                    <w:rPr>
                      <w:rFonts w:ascii="仿宋_GB2312" w:hAnsi="仿宋_GB2312" w:cs="仿宋_GB2312" w:eastAsia="仿宋_GB2312"/>
                      <w:sz w:val="22"/>
                    </w:rPr>
                    <w:t>，</w:t>
                  </w:r>
                  <w:r>
                    <w:rPr>
                      <w:rFonts w:ascii="仿宋_GB2312" w:hAnsi="仿宋_GB2312" w:cs="仿宋_GB2312" w:eastAsia="仿宋_GB2312"/>
                      <w:sz w:val="22"/>
                    </w:rPr>
                    <w:t>包括公园简介和带公园范围的导览图</w:t>
                  </w:r>
                  <w:r>
                    <w:rPr>
                      <w:rFonts w:ascii="仿宋_GB2312" w:hAnsi="仿宋_GB2312" w:cs="仿宋_GB2312" w:eastAsia="仿宋_GB2312"/>
                      <w:sz w:val="22"/>
                    </w:rPr>
                    <w:t>。</w:t>
                  </w:r>
                </w:p>
                <w:p>
                  <w:pPr>
                    <w:pStyle w:val="null3"/>
                    <w:numPr>
                      <w:ilvl w:val="0"/>
                      <w:numId w:val="1"/>
                    </w:numPr>
                    <w:jc w:val="both"/>
                  </w:pPr>
                  <w:r>
                    <w:rPr>
                      <w:rFonts w:ascii="仿宋_GB2312" w:hAnsi="仿宋_GB2312" w:cs="仿宋_GB2312" w:eastAsia="仿宋_GB2312"/>
                      <w:sz w:val="22"/>
                    </w:rPr>
                    <w:t>设计需高度集成地图、文字、图示等多种信息。</w:t>
                  </w:r>
                </w:p>
                <w:p>
                  <w:pPr>
                    <w:pStyle w:val="null3"/>
                    <w:numPr>
                      <w:ilvl w:val="0"/>
                      <w:numId w:val="1"/>
                    </w:numPr>
                    <w:jc w:val="both"/>
                  </w:pPr>
                  <w:r>
                    <w:rPr>
                      <w:rFonts w:ascii="仿宋_GB2312" w:hAnsi="仿宋_GB2312" w:cs="仿宋_GB2312" w:eastAsia="仿宋_GB2312"/>
                      <w:sz w:val="22"/>
                    </w:rPr>
                    <w:t>艺术化绘制全景地图，整合景点、路线、服务设施，设计清晰的</w:t>
                  </w:r>
                  <w:r>
                    <w:rPr>
                      <w:rFonts w:ascii="仿宋_GB2312" w:hAnsi="仿宋_GB2312" w:cs="仿宋_GB2312" w:eastAsia="仿宋_GB2312"/>
                      <w:sz w:val="22"/>
                    </w:rPr>
                    <w:t>“</w:t>
                  </w:r>
                  <w:r>
                    <w:rPr>
                      <w:rFonts w:ascii="仿宋_GB2312" w:hAnsi="仿宋_GB2312" w:cs="仿宋_GB2312" w:eastAsia="仿宋_GB2312"/>
                      <w:sz w:val="22"/>
                    </w:rPr>
                    <w:t>您在此处</w:t>
                  </w:r>
                  <w:r>
                    <w:rPr>
                      <w:rFonts w:ascii="仿宋_GB2312" w:hAnsi="仿宋_GB2312" w:cs="仿宋_GB2312" w:eastAsia="仿宋_GB2312"/>
                      <w:sz w:val="22"/>
                    </w:rPr>
                    <w:t>”</w:t>
                  </w:r>
                  <w:r>
                    <w:rPr>
                      <w:rFonts w:ascii="仿宋_GB2312" w:hAnsi="仿宋_GB2312" w:cs="仿宋_GB2312" w:eastAsia="仿宋_GB2312"/>
                      <w:sz w:val="22"/>
                    </w:rPr>
                    <w:t>定位系统。</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区域说明牌</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2"/>
                    </w:rPr>
                    <w:t>各功能区域</w:t>
                  </w:r>
                  <w:r>
                    <w:rPr>
                      <w:rFonts w:ascii="仿宋_GB2312" w:hAnsi="仿宋_GB2312" w:cs="仿宋_GB2312" w:eastAsia="仿宋_GB2312"/>
                      <w:sz w:val="22"/>
                    </w:rPr>
                    <w:t>/</w:t>
                  </w:r>
                  <w:r>
                    <w:rPr>
                      <w:rFonts w:ascii="仿宋_GB2312" w:hAnsi="仿宋_GB2312" w:cs="仿宋_GB2312" w:eastAsia="仿宋_GB2312"/>
                      <w:sz w:val="22"/>
                    </w:rPr>
                    <w:t>景区介绍牌</w:t>
                  </w:r>
                  <w:r>
                    <w:rPr>
                      <w:rFonts w:ascii="仿宋_GB2312" w:hAnsi="仿宋_GB2312" w:cs="仿宋_GB2312" w:eastAsia="仿宋_GB2312"/>
                      <w:sz w:val="22"/>
                    </w:rPr>
                    <w:t>，包含景区简介、景区导览图、景区在公园位置示意图等</w:t>
                  </w:r>
                </w:p>
                <w:p>
                  <w:pPr>
                    <w:pStyle w:val="null3"/>
                    <w:numPr>
                      <w:ilvl w:val="0"/>
                      <w:numId w:val="1"/>
                    </w:numPr>
                    <w:jc w:val="both"/>
                  </w:pPr>
                  <w:r>
                    <w:rPr>
                      <w:rFonts w:ascii="仿宋_GB2312" w:hAnsi="仿宋_GB2312" w:cs="仿宋_GB2312" w:eastAsia="仿宋_GB2312"/>
                      <w:sz w:val="22"/>
                    </w:rPr>
                    <w:t>设计需高度集成地图、文字、图示等多种信息。</w:t>
                  </w:r>
                </w:p>
                <w:p>
                  <w:pPr>
                    <w:pStyle w:val="null3"/>
                    <w:numPr>
                      <w:ilvl w:val="0"/>
                      <w:numId w:val="1"/>
                    </w:numPr>
                    <w:jc w:val="both"/>
                  </w:pPr>
                  <w:r>
                    <w:rPr>
                      <w:rFonts w:ascii="仿宋_GB2312" w:hAnsi="仿宋_GB2312" w:cs="仿宋_GB2312" w:eastAsia="仿宋_GB2312"/>
                      <w:sz w:val="22"/>
                    </w:rPr>
                    <w:t>针对不同景区（如</w:t>
                  </w:r>
                  <w:r>
                    <w:rPr>
                      <w:rFonts w:ascii="仿宋_GB2312" w:hAnsi="仿宋_GB2312" w:cs="仿宋_GB2312" w:eastAsia="仿宋_GB2312"/>
                      <w:sz w:val="22"/>
                    </w:rPr>
                    <w:t>“</w:t>
                  </w:r>
                  <w:r>
                    <w:rPr>
                      <w:rFonts w:ascii="仿宋_GB2312" w:hAnsi="仿宋_GB2312" w:cs="仿宋_GB2312" w:eastAsia="仿宋_GB2312"/>
                      <w:sz w:val="22"/>
                    </w:rPr>
                    <w:t>蓝田猿人景区</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南五台景区</w:t>
                  </w:r>
                  <w:r>
                    <w:rPr>
                      <w:rFonts w:ascii="仿宋_GB2312" w:hAnsi="仿宋_GB2312" w:cs="仿宋_GB2312" w:eastAsia="仿宋_GB2312"/>
                      <w:sz w:val="22"/>
                    </w:rPr>
                    <w:t>”</w:t>
                  </w:r>
                  <w:r>
                    <w:rPr>
                      <w:rFonts w:ascii="仿宋_GB2312" w:hAnsi="仿宋_GB2312" w:cs="仿宋_GB2312" w:eastAsia="仿宋_GB2312"/>
                      <w:sz w:val="22"/>
                    </w:rPr>
                    <w:t>）进行特色化版式设计，概述该区域核心特色与游览亮点。</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解说牌</w:t>
                  </w:r>
                  <w:r>
                    <w:rPr>
                      <w:rFonts w:ascii="仿宋_GB2312" w:hAnsi="仿宋_GB2312" w:cs="仿宋_GB2312" w:eastAsia="仿宋_GB2312"/>
                      <w:sz w:val="22"/>
                    </w:rPr>
                    <w:t>及科普牌</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115</w:t>
                  </w:r>
                </w:p>
              </w:tc>
              <w:tc>
                <w:tcPr>
                  <w:tcW w:type="dxa" w:w="3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2"/>
                    </w:rPr>
                    <w:t>设置在</w:t>
                  </w:r>
                  <w:r>
                    <w:rPr>
                      <w:rFonts w:ascii="仿宋_GB2312" w:hAnsi="仿宋_GB2312" w:cs="仿宋_GB2312" w:eastAsia="仿宋_GB2312"/>
                      <w:sz w:val="22"/>
                    </w:rPr>
                    <w:t>具体地质遗迹点</w:t>
                  </w:r>
                  <w:r>
                    <w:rPr>
                      <w:rFonts w:ascii="仿宋_GB2312" w:hAnsi="仿宋_GB2312" w:cs="仿宋_GB2312" w:eastAsia="仿宋_GB2312"/>
                      <w:sz w:val="22"/>
                    </w:rPr>
                    <w:t>前的标识牌。</w:t>
                  </w:r>
                </w:p>
                <w:p>
                  <w:pPr>
                    <w:pStyle w:val="null3"/>
                    <w:numPr>
                      <w:ilvl w:val="0"/>
                      <w:numId w:val="1"/>
                    </w:numPr>
                    <w:jc w:val="both"/>
                  </w:pPr>
                  <w:r>
                    <w:rPr>
                      <w:rFonts w:ascii="仿宋_GB2312" w:hAnsi="仿宋_GB2312" w:cs="仿宋_GB2312" w:eastAsia="仿宋_GB2312"/>
                      <w:sz w:val="22"/>
                    </w:rPr>
                    <w:t>设计要求最高的科学性与定制化插图。</w:t>
                  </w:r>
                </w:p>
                <w:p>
                  <w:pPr>
                    <w:pStyle w:val="null3"/>
                    <w:numPr>
                      <w:ilvl w:val="0"/>
                      <w:numId w:val="1"/>
                    </w:numPr>
                    <w:jc w:val="both"/>
                  </w:pPr>
                  <w:r>
                    <w:rPr>
                      <w:rFonts w:ascii="仿宋_GB2312" w:hAnsi="仿宋_GB2312" w:cs="仿宋_GB2312" w:eastAsia="仿宋_GB2312"/>
                      <w:sz w:val="22"/>
                    </w:rPr>
                    <w:t>统一制作斜面式解说牌和科普牌，要求图文并茂，科普内容浅显易懂，</w:t>
                  </w:r>
                </w:p>
                <w:p>
                  <w:pPr>
                    <w:pStyle w:val="null3"/>
                    <w:numPr>
                      <w:ilvl w:val="0"/>
                      <w:numId w:val="1"/>
                    </w:numPr>
                    <w:jc w:val="both"/>
                  </w:pPr>
                  <w:r>
                    <w:rPr>
                      <w:rFonts w:ascii="仿宋_GB2312" w:hAnsi="仿宋_GB2312" w:cs="仿宋_GB2312" w:eastAsia="仿宋_GB2312"/>
                      <w:sz w:val="22"/>
                    </w:rPr>
                    <w:t>地质现象解说牌可调整为地学科普牌，增加科普图</w:t>
                  </w:r>
                </w:p>
                <w:p>
                  <w:pPr>
                    <w:pStyle w:val="null3"/>
                    <w:numPr>
                      <w:ilvl w:val="0"/>
                      <w:numId w:val="1"/>
                    </w:numPr>
                    <w:jc w:val="both"/>
                  </w:pPr>
                  <w:r>
                    <w:rPr>
                      <w:rFonts w:ascii="仿宋_GB2312" w:hAnsi="仿宋_GB2312" w:cs="仿宋_GB2312" w:eastAsia="仿宋_GB2312"/>
                      <w:sz w:val="22"/>
                    </w:rPr>
                    <w:t>为地质点定制绘制</w:t>
                  </w:r>
                  <w:r>
                    <w:rPr>
                      <w:rFonts w:ascii="仿宋_GB2312" w:hAnsi="仿宋_GB2312" w:cs="仿宋_GB2312" w:eastAsia="仿宋_GB2312"/>
                      <w:sz w:val="22"/>
                    </w:rPr>
                    <w:t>形成过程示意图</w:t>
                  </w:r>
                  <w:r>
                    <w:rPr>
                      <w:rFonts w:ascii="仿宋_GB2312" w:hAnsi="仿宋_GB2312" w:cs="仿宋_GB2312" w:eastAsia="仿宋_GB2312"/>
                      <w:sz w:val="22"/>
                    </w:rPr>
                    <w:t>。</w:t>
                  </w:r>
                </w:p>
                <w:p>
                  <w:pPr>
                    <w:pStyle w:val="null3"/>
                    <w:numPr>
                      <w:ilvl w:val="0"/>
                      <w:numId w:val="1"/>
                    </w:numPr>
                    <w:jc w:val="both"/>
                  </w:pPr>
                  <w:r>
                    <w:rPr>
                      <w:rFonts w:ascii="仿宋_GB2312" w:hAnsi="仿宋_GB2312" w:cs="仿宋_GB2312" w:eastAsia="仿宋_GB2312"/>
                      <w:sz w:val="22"/>
                    </w:rPr>
                    <w:t>对专业地质术语进行通俗化排版设计，构建</w:t>
                  </w:r>
                  <w:r>
                    <w:rPr>
                      <w:rFonts w:ascii="仿宋_GB2312" w:hAnsi="仿宋_GB2312" w:cs="仿宋_GB2312" w:eastAsia="仿宋_GB2312"/>
                      <w:sz w:val="22"/>
                    </w:rPr>
                    <w:t>“</w:t>
                  </w:r>
                  <w:r>
                    <w:rPr>
                      <w:rFonts w:ascii="仿宋_GB2312" w:hAnsi="仿宋_GB2312" w:cs="仿宋_GB2312" w:eastAsia="仿宋_GB2312"/>
                      <w:sz w:val="22"/>
                    </w:rPr>
                    <w:t>标题</w:t>
                  </w:r>
                  <w:r>
                    <w:rPr>
                      <w:rFonts w:ascii="仿宋_GB2312" w:hAnsi="仿宋_GB2312" w:cs="仿宋_GB2312" w:eastAsia="仿宋_GB2312"/>
                      <w:sz w:val="22"/>
                    </w:rPr>
                    <w:t>-</w:t>
                  </w:r>
                  <w:r>
                    <w:rPr>
                      <w:rFonts w:ascii="仿宋_GB2312" w:hAnsi="仿宋_GB2312" w:cs="仿宋_GB2312" w:eastAsia="仿宋_GB2312"/>
                      <w:sz w:val="22"/>
                    </w:rPr>
                    <w:t>引导文</w:t>
                  </w:r>
                  <w:r>
                    <w:rPr>
                      <w:rFonts w:ascii="仿宋_GB2312" w:hAnsi="仿宋_GB2312" w:cs="仿宋_GB2312" w:eastAsia="仿宋_GB2312"/>
                      <w:sz w:val="22"/>
                    </w:rPr>
                    <w:t>-</w:t>
                  </w:r>
                  <w:r>
                    <w:rPr>
                      <w:rFonts w:ascii="仿宋_GB2312" w:hAnsi="仿宋_GB2312" w:cs="仿宋_GB2312" w:eastAsia="仿宋_GB2312"/>
                      <w:sz w:val="22"/>
                    </w:rPr>
                    <w:t>正文</w:t>
                  </w:r>
                  <w:r>
                    <w:rPr>
                      <w:rFonts w:ascii="仿宋_GB2312" w:hAnsi="仿宋_GB2312" w:cs="仿宋_GB2312" w:eastAsia="仿宋_GB2312"/>
                      <w:sz w:val="22"/>
                    </w:rPr>
                    <w:t>-</w:t>
                  </w:r>
                  <w:r>
                    <w:rPr>
                      <w:rFonts w:ascii="仿宋_GB2312" w:hAnsi="仿宋_GB2312" w:cs="仿宋_GB2312" w:eastAsia="仿宋_GB2312"/>
                      <w:sz w:val="22"/>
                    </w:rPr>
                    <w:t>图解</w:t>
                  </w:r>
                  <w:r>
                    <w:rPr>
                      <w:rFonts w:ascii="仿宋_GB2312" w:hAnsi="仿宋_GB2312" w:cs="仿宋_GB2312" w:eastAsia="仿宋_GB2312"/>
                      <w:sz w:val="22"/>
                    </w:rPr>
                    <w:t>”</w:t>
                  </w:r>
                  <w:r>
                    <w:rPr>
                      <w:rFonts w:ascii="仿宋_GB2312" w:hAnsi="仿宋_GB2312" w:cs="仿宋_GB2312" w:eastAsia="仿宋_GB2312"/>
                      <w:sz w:val="22"/>
                    </w:rPr>
                    <w:t>的清晰阅读逻辑。</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指引牌</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2</w:t>
                  </w:r>
                </w:p>
              </w:tc>
              <w:tc>
                <w:tcPr>
                  <w:tcW w:type="dxa" w:w="3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2"/>
                    </w:rPr>
                    <w:t>包括</w:t>
                  </w:r>
                  <w:r>
                    <w:rPr>
                      <w:rFonts w:ascii="仿宋_GB2312" w:hAnsi="仿宋_GB2312" w:cs="仿宋_GB2312" w:eastAsia="仿宋_GB2312"/>
                      <w:sz w:val="22"/>
                    </w:rPr>
                    <w:t>交通牌、景区指示牌、公共服务设施指示牌</w:t>
                  </w:r>
                  <w:r>
                    <w:rPr>
                      <w:rFonts w:ascii="仿宋_GB2312" w:hAnsi="仿宋_GB2312" w:cs="仿宋_GB2312" w:eastAsia="仿宋_GB2312"/>
                      <w:sz w:val="22"/>
                    </w:rPr>
                    <w:t>等所有具备指引功能的标识。</w:t>
                  </w:r>
                </w:p>
                <w:p>
                  <w:pPr>
                    <w:pStyle w:val="null3"/>
                    <w:numPr>
                      <w:ilvl w:val="0"/>
                      <w:numId w:val="1"/>
                    </w:numPr>
                    <w:jc w:val="both"/>
                  </w:pPr>
                  <w:r>
                    <w:rPr>
                      <w:rFonts w:ascii="仿宋_GB2312" w:hAnsi="仿宋_GB2312" w:cs="仿宋_GB2312" w:eastAsia="仿宋_GB2312"/>
                      <w:sz w:val="22"/>
                    </w:rPr>
                    <w:t>强调功能的准确性与系统性，需要建立一套完整、可扩展的指令性视觉体系。</w:t>
                  </w:r>
                </w:p>
                <w:p>
                  <w:pPr>
                    <w:pStyle w:val="null3"/>
                    <w:numPr>
                      <w:ilvl w:val="0"/>
                      <w:numId w:val="1"/>
                    </w:numPr>
                    <w:jc w:val="both"/>
                  </w:pPr>
                  <w:r>
                    <w:rPr>
                      <w:rFonts w:ascii="仿宋_GB2312" w:hAnsi="仿宋_GB2312" w:cs="仿宋_GB2312" w:eastAsia="仿宋_GB2312"/>
                      <w:sz w:val="22"/>
                    </w:rPr>
                    <w:t>建立外部道路、内部交通等不同层级的导向牌视觉规范。</w:t>
                  </w:r>
                </w:p>
                <w:p>
                  <w:pPr>
                    <w:pStyle w:val="null3"/>
                    <w:numPr>
                      <w:ilvl w:val="0"/>
                      <w:numId w:val="1"/>
                    </w:numPr>
                    <w:jc w:val="both"/>
                  </w:pPr>
                  <w:r>
                    <w:rPr>
                      <w:rFonts w:ascii="仿宋_GB2312" w:hAnsi="仿宋_GB2312" w:cs="仿宋_GB2312" w:eastAsia="仿宋_GB2312"/>
                      <w:sz w:val="22"/>
                    </w:rPr>
                    <w:t>统一规范目的地名称、方向箭头、距离等信息的排版与图标。</w:t>
                  </w:r>
                </w:p>
                <w:p>
                  <w:pPr>
                    <w:pStyle w:val="null3"/>
                    <w:numPr>
                      <w:ilvl w:val="0"/>
                      <w:numId w:val="1"/>
                    </w:numPr>
                    <w:jc w:val="both"/>
                  </w:pPr>
                  <w:r>
                    <w:rPr>
                      <w:rFonts w:ascii="仿宋_GB2312" w:hAnsi="仿宋_GB2312" w:cs="仿宋_GB2312" w:eastAsia="仿宋_GB2312"/>
                      <w:sz w:val="22"/>
                    </w:rPr>
                    <w:t>部分原有石柱类指引牌需拆除。</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管理牌</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60</w:t>
                  </w:r>
                </w:p>
              </w:tc>
              <w:tc>
                <w:tcPr>
                  <w:tcW w:type="dxa" w:w="3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2"/>
                    </w:rPr>
                    <w:t>包括</w:t>
                  </w:r>
                  <w:r>
                    <w:rPr>
                      <w:rFonts w:ascii="仿宋_GB2312" w:hAnsi="仿宋_GB2312" w:cs="仿宋_GB2312" w:eastAsia="仿宋_GB2312"/>
                      <w:sz w:val="22"/>
                    </w:rPr>
                    <w:t>安全警示牌、温馨提示牌、规章制度牌、公共设施牌</w:t>
                  </w:r>
                  <w:r>
                    <w:rPr>
                      <w:rFonts w:ascii="仿宋_GB2312" w:hAnsi="仿宋_GB2312" w:cs="仿宋_GB2312" w:eastAsia="仿宋_GB2312"/>
                      <w:sz w:val="22"/>
                    </w:rPr>
                    <w:t>（如卫生间、停车场）等。</w:t>
                  </w:r>
                </w:p>
                <w:p>
                  <w:pPr>
                    <w:pStyle w:val="null3"/>
                    <w:numPr>
                      <w:ilvl w:val="0"/>
                      <w:numId w:val="1"/>
                    </w:numPr>
                    <w:jc w:val="both"/>
                  </w:pPr>
                  <w:r>
                    <w:rPr>
                      <w:rFonts w:ascii="仿宋_GB2312" w:hAnsi="仿宋_GB2312" w:cs="仿宋_GB2312" w:eastAsia="仿宋_GB2312"/>
                      <w:sz w:val="22"/>
                    </w:rPr>
                    <w:t>标准化设计，重在清晰、统一并与环境协调。</w:t>
                  </w:r>
                </w:p>
                <w:p>
                  <w:pPr>
                    <w:pStyle w:val="null3"/>
                    <w:numPr>
                      <w:ilvl w:val="0"/>
                      <w:numId w:val="1"/>
                    </w:numPr>
                    <w:jc w:val="both"/>
                  </w:pPr>
                  <w:r>
                    <w:rPr>
                      <w:rFonts w:ascii="仿宋_GB2312" w:hAnsi="仿宋_GB2312" w:cs="仿宋_GB2312" w:eastAsia="仿宋_GB2312"/>
                      <w:sz w:val="22"/>
                    </w:rPr>
                    <w:t>对安全、警告、提示等国际通用符号进行符合国标与公园风格的再设计。</w:t>
                  </w:r>
                </w:p>
                <w:p>
                  <w:pPr>
                    <w:pStyle w:val="null3"/>
                    <w:numPr>
                      <w:ilvl w:val="0"/>
                      <w:numId w:val="1"/>
                    </w:numPr>
                    <w:jc w:val="both"/>
                  </w:pPr>
                  <w:r>
                    <w:rPr>
                      <w:rFonts w:ascii="仿宋_GB2312" w:hAnsi="仿宋_GB2312" w:cs="仿宋_GB2312" w:eastAsia="仿宋_GB2312"/>
                      <w:sz w:val="22"/>
                    </w:rPr>
                    <w:t>将生硬的管理语言转化为易于接受的友好提示。</w:t>
                  </w:r>
                </w:p>
              </w:tc>
            </w:tr>
            <w:tr>
              <w:tc>
                <w:tcPr>
                  <w:tcW w:type="dxa" w:w="7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动植物解说牌</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2"/>
                    </w:rPr>
                    <w:t>针对公园的自然生态属性，适配亲子与科普需求，让标识从</w:t>
                  </w:r>
                  <w:r>
                    <w:rPr>
                      <w:rFonts w:ascii="仿宋_GB2312" w:hAnsi="仿宋_GB2312" w:cs="仿宋_GB2312" w:eastAsia="仿宋_GB2312"/>
                      <w:sz w:val="22"/>
                    </w:rPr>
                    <w:t>“信息展示”升级为“体验式学习”载体。</w:t>
                  </w:r>
                </w:p>
                <w:p>
                  <w:pPr>
                    <w:pStyle w:val="null3"/>
                    <w:numPr>
                      <w:ilvl w:val="0"/>
                      <w:numId w:val="1"/>
                    </w:numPr>
                    <w:jc w:val="both"/>
                  </w:pPr>
                  <w:r>
                    <w:rPr>
                      <w:rFonts w:ascii="仿宋_GB2312" w:hAnsi="仿宋_GB2312" w:cs="仿宋_GB2312" w:eastAsia="仿宋_GB2312"/>
                      <w:sz w:val="22"/>
                    </w:rPr>
                    <w:t>以秦岭特色物种（如朱鹮、熊猫、秦岭冷杉等）为内容核心。</w:t>
                  </w:r>
                </w:p>
                <w:p>
                  <w:pPr>
                    <w:pStyle w:val="null3"/>
                    <w:numPr>
                      <w:ilvl w:val="0"/>
                      <w:numId w:val="1"/>
                    </w:numPr>
                    <w:jc w:val="both"/>
                  </w:pPr>
                  <w:r>
                    <w:rPr>
                      <w:rFonts w:ascii="仿宋_GB2312" w:hAnsi="仿宋_GB2312" w:cs="仿宋_GB2312" w:eastAsia="仿宋_GB2312"/>
                      <w:sz w:val="22"/>
                    </w:rPr>
                    <w:t>需展示物种形象，并标注科普信息（习性、分布等）</w:t>
                  </w:r>
                </w:p>
                <w:p>
                  <w:pPr>
                    <w:pStyle w:val="null3"/>
                    <w:numPr>
                      <w:ilvl w:val="0"/>
                      <w:numId w:val="1"/>
                    </w:numPr>
                    <w:jc w:val="both"/>
                  </w:pPr>
                  <w:r>
                    <w:rPr>
                      <w:rFonts w:ascii="仿宋_GB2312" w:hAnsi="仿宋_GB2312" w:cs="仿宋_GB2312" w:eastAsia="仿宋_GB2312"/>
                      <w:sz w:val="22"/>
                    </w:rPr>
                    <w:t>动植物形象图需手绘图，并注明生物细节</w:t>
                  </w:r>
                </w:p>
              </w:tc>
            </w:tr>
          </w:tbl>
          <w:p>
            <w:pPr>
              <w:pStyle w:val="null3"/>
            </w:pPr>
            <w:r>
              <w:rPr>
                <w:rFonts w:ascii="仿宋_GB2312" w:hAnsi="仿宋_GB2312" w:cs="仿宋_GB2312" w:eastAsia="仿宋_GB2312"/>
                <w:sz w:val="22"/>
              </w:rPr>
              <w:t>二、实施要求</w:t>
            </w:r>
          </w:p>
          <w:p>
            <w:pPr>
              <w:pStyle w:val="null3"/>
            </w:pPr>
            <w:r>
              <w:rPr>
                <w:rFonts w:ascii="仿宋_GB2312" w:hAnsi="仿宋_GB2312" w:cs="仿宋_GB2312" w:eastAsia="仿宋_GB2312"/>
                <w:sz w:val="22"/>
              </w:rPr>
              <w:t xml:space="preserve">  本项目实施要求适配地质公园属性，采用坚固、耐用、环保的材料，所有标识牌语言均需中英文。</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达到国家及行业现行技术规范标准，符合国家及行业验收合格标准,符合采购人要求。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1、自合同签订之日起6个月内完成设计、交货、安装调试并验收合格。 2.施工地点：采购人指定地点。 3.付款方式：合同签订后，成交供应商完成标牌设计工作并符合采购人要求，达到付款条件起5日内，支付合同总金额的100.00%。 4.验收交付标准和方法：供应商针对本项目的施工，必须达到国家及行业现行技术规范标准，符合国家及行业验收合格标准。 5.供应商应充分了解采购人对标识标牌的特殊要求，并按照要求按质按量完成相关制作和安装工作，符合采购人管理系统的整体要求，做工精细，质量保证。 6.标识标牌撤除或更换后，不破坏、不影响原有建筑或设施；安装时保证标识标牌粘贴牢固，确保背胶不影响标识标牌正面观感。 7.供应商在完成业务时必须遵守采购人的相关规定，不得影响采购人的正常工作，完工后要及时清理场地卫生，保持干净整洁。 8.供应商在完成业务时必须严格遵守技术操作规范，务必确保安全操作，在作业期间造成自身或他人的损害由供应商自行负责。</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同时，中标单位应在中标后无偿线下递交响应文件正本壹套、副本贰套、电子版(U盘贰套标明供应商名称，单独密封）。若电子响应文件与纸质响应文件不一致的，以电子响应文件为准，若正本和副本不符，以正本为准。线下递交文件时间：中标结果公告发布后以代理机构通知为准；线下递交文件地点：陕西省西安市雁塔区曲江新区雁翔路3269号旺座曲江E座29层2901号。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2.提供2024年1月至今已缴纳的至少一个月的纳税证明或完税证明（任意税种），依法免税的单位应提供相关证明材料。 3.提供2024年1月至今已缴纳的至少一个月的社会保障资金缴存凭证或社保机构开具的社会保险参保证明，依法不需要缴纳社会保障资金的单位应提供相关证明材料。 4.提供具有履行合同所必需的设备和专业技术能力的承诺声明。 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2023年度或者2024年度财务报告（成立时间至响应文件递交截止时间不足一年的可提供成立后任意时段的资产负债表）或响应文件递交截止时间前六个月内其基本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其他应说明的事项.docx 报价函 标的清单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磋商项目技术、服务、商务及其他要求条款偏离表.docx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磋商项目技术、服务、商务及其他要求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磋商项目技术、服务、商务及其他要求条款偏离表.docx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法律法规规定的废标情况</w:t>
            </w:r>
          </w:p>
        </w:tc>
        <w:tc>
          <w:tcPr>
            <w:tcW w:type="dxa" w:w="1661"/>
          </w:tcPr>
          <w:p>
            <w:pPr>
              <w:pStyle w:val="null3"/>
            </w:pPr>
            <w:r>
              <w:rPr>
                <w:rFonts w:ascii="仿宋_GB2312" w:hAnsi="仿宋_GB2312" w:cs="仿宋_GB2312" w:eastAsia="仿宋_GB2312"/>
              </w:rPr>
              <w:t>其他应说明的事项.docx 磋商项目技术、服务、商务及其他要求条款偏离表.docx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标识牌设计方案及效果图： ①设计方案详细、科学，效果图内容完善、创意新颖、思路清晰，审美性、艺术性、整体性强，能够充分满足采购需求得(10.1-15)分; ②设计方案较为详细、合理，效果图的审美性、艺术性、整体性一般得(5.1-10)分; ③设计方案较为粗略，效果图的审美性、艺术性、整体性较差得(1-5)分。未提供不得分。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①产品选型合理，制作工艺先进，性价比高，产品配置齐全，数量准确、规格描述详细，完全满足采购需求得(6.1-10分); ②产品选型较为合理，性价比一般，配置达标，制作工艺标准，基本满足采购需求得(3.1-6分); ③供应商所响应产品选型配置较差，性价比低，配置较差，提供产品材料不完善得(1-3)分;未提供不得分。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编制实施方案：包括货物运送，安装，调试，安全文明施工，工期保障措施等内容进行综合评审。 ①实施方案详细具体，阐述全面的、可操作性强得（10.1—15）分。 ②实施方案较详细,阐述一般,可操作性一般得（5.1—10）分。 ③实施方案内容不明确，可操作性差得（1—5）分;未提供不得分。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人员配备：人员配置齐全（项目经理、技术负责人、设计人员、施工人员等）。 ①分工合理，岗位职责清晰，经验丰富得（5.1-10）分； ②人员配置一般，分工基本合理，职责不够清晰得（1-5）分，未提供不得分。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供应商提供针对本项目具体可行安全安装措施方案及能够保质保量完成本次项目的服务承诺根据响应程度得（1-5）分。未提供不得分。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供应商提供针对本项目的售后服务方案：包括产品配送、残损品补救、售后响应等方案，保修计划（包括具体的售后服务内容、响应方式、响应时间、问题管理、返修管理等）。 方案详细,售后明确有保障得（1—5）分。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①突发事件的应急措施和解决方案，各项措施方案合理、可行，方法得当得（3.1-5）分； ②合理化建议可行性一般、方法较少得（1-3）分，此项共计5分。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供应商具有2022年1月1日至今类似项目业绩，提供一份得5分，此项共计5分，业绩评审以合同或中标通知书复印件并加盖供应商公章为依据。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 注：1.磋商基准价即实质性响应竞争性磋商文件要求的供应商的最低磋商报价。大于最高限价的磋商报价在评审过程中报价按无效磋商处理。 2.经磋商小组一致认定，供应商的磋商最终总报价低于公认市场成本，或超过最高限价，其磋商将被拒绝，按无效处理。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详见附件：磋商项目技术、服务、商务及其他要求条款偏离表.docx</w:t>
      </w:r>
    </w:p>
    <w:p>
      <w:pPr>
        <w:pStyle w:val="null3"/>
        <w:ind w:firstLine="960"/>
      </w:pPr>
      <w:r>
        <w:rPr>
          <w:rFonts w:ascii="仿宋_GB2312" w:hAnsi="仿宋_GB2312" w:cs="仿宋_GB2312" w:eastAsia="仿宋_GB2312"/>
        </w:rPr>
        <w:t>详见附件：方案说明.docx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