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版本号：SXZM-JT-202500320251124001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临潼区“水暖炕”改造项目(三次)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SXZM-JT-2025003</w:t>
      </w:r>
      <w:r>
        <w:br/>
      </w:r>
      <w:r>
        <w:br/>
      </w:r>
      <w:r>
        <w:br/>
      </w:r>
    </w:p>
    <w:p>
      <w:pPr>
        <w:pStyle w:val="null3"/>
        <w:jc w:val="center"/>
        <w:outlineLvl w:val="2"/>
      </w:pPr>
      <w:r>
        <w:rPr>
          <w:rFonts w:ascii="仿宋_GB2312" w:hAnsi="仿宋_GB2312" w:cs="仿宋_GB2312" w:eastAsia="仿宋_GB2312"/>
          <w:sz w:val="28"/>
          <w:b/>
        </w:rPr>
        <w:t>西安市生态环境局临潼分局</w:t>
      </w:r>
    </w:p>
    <w:p>
      <w:pPr>
        <w:pStyle w:val="null3"/>
        <w:jc w:val="center"/>
        <w:outlineLvl w:val="2"/>
      </w:pPr>
      <w:r>
        <w:rPr>
          <w:rFonts w:ascii="仿宋_GB2312" w:hAnsi="仿宋_GB2312" w:cs="仿宋_GB2312" w:eastAsia="仿宋_GB2312"/>
          <w:sz w:val="28"/>
          <w:b/>
        </w:rPr>
        <w:t>陕西正明项目管理有限公司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陕西正明项目管理有限公司</w:t>
      </w:r>
      <w:r>
        <w:rPr>
          <w:rFonts w:ascii="仿宋_GB2312" w:hAnsi="仿宋_GB2312" w:cs="仿宋_GB2312" w:eastAsia="仿宋_GB2312"/>
        </w:rPr>
        <w:t>（以下简称“代理机构”）受</w:t>
      </w:r>
      <w:r>
        <w:rPr>
          <w:rFonts w:ascii="仿宋_GB2312" w:hAnsi="仿宋_GB2312" w:cs="仿宋_GB2312" w:eastAsia="仿宋_GB2312"/>
        </w:rPr>
        <w:t>西安市生态环境局临潼分局</w:t>
      </w:r>
      <w:r>
        <w:rPr>
          <w:rFonts w:ascii="仿宋_GB2312" w:hAnsi="仿宋_GB2312" w:cs="仿宋_GB2312" w:eastAsia="仿宋_GB2312"/>
        </w:rPr>
        <w:t>委托，拟对</w:t>
      </w:r>
      <w:r>
        <w:rPr>
          <w:rFonts w:ascii="仿宋_GB2312" w:hAnsi="仿宋_GB2312" w:cs="仿宋_GB2312" w:eastAsia="仿宋_GB2312"/>
        </w:rPr>
        <w:t>临潼区“水暖炕”改造项目(三次)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SXZM-JT-2025003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临潼区“水暖炕”改造项目(三次)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采购1200套水暖炕改造设备，完成全区1200户农村“水暖炕”改造建设工作，解决部分群众煤改洁后取暖问题.</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采购包1（临潼区“水暖炕”改造项目）：属于专门面向中小企业采购。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1、营业执照：提供合格有效的法人或者其他组织的营业执照等证明文件，自然人的身份证明；</w:t>
      </w:r>
    </w:p>
    <w:p>
      <w:pPr>
        <w:pStyle w:val="null3"/>
      </w:pPr>
      <w:r>
        <w:rPr>
          <w:rFonts w:ascii="仿宋_GB2312" w:hAnsi="仿宋_GB2312" w:cs="仿宋_GB2312" w:eastAsia="仿宋_GB2312"/>
        </w:rPr>
        <w:t>2、财务状况报告：提供具有经审计资质单位出具赋码的完整2024年度的财务审计报告，成立时间至提交投标文件截止时间不足一年的可提供成立后任意时段的资产负债表；或其开标前六个月内基本存款账户开户银行出具的资信证明；或信用担保机构出具的投标担保函（以上三种形式的资料提供任何一种即可）。</w:t>
      </w:r>
    </w:p>
    <w:p>
      <w:pPr>
        <w:pStyle w:val="null3"/>
      </w:pPr>
      <w:r>
        <w:rPr>
          <w:rFonts w:ascii="仿宋_GB2312" w:hAnsi="仿宋_GB2312" w:cs="仿宋_GB2312" w:eastAsia="仿宋_GB2312"/>
        </w:rPr>
        <w:t>3、社保缴纳证明：提供谈判时间前6个月内任意时段的缴纳证明。依法不需要交纳社会保障资金的供应商应提供相关文件证明。</w:t>
      </w:r>
    </w:p>
    <w:p>
      <w:pPr>
        <w:pStyle w:val="null3"/>
      </w:pPr>
      <w:r>
        <w:rPr>
          <w:rFonts w:ascii="仿宋_GB2312" w:hAnsi="仿宋_GB2312" w:cs="仿宋_GB2312" w:eastAsia="仿宋_GB2312"/>
        </w:rPr>
        <w:t>4、税收缴纳证明：提供谈判时间前6个月内任意时段的纳税证明或完税证明（除印花税外任意税种），纳税证明或完税证明上应有代收机构或税务机关的公章或业务专用章。依法免税的供应商应提供相关文件证明。</w:t>
      </w:r>
    </w:p>
    <w:p>
      <w:pPr>
        <w:pStyle w:val="null3"/>
      </w:pPr>
      <w:r>
        <w:rPr>
          <w:rFonts w:ascii="仿宋_GB2312" w:hAnsi="仿宋_GB2312" w:cs="仿宋_GB2312" w:eastAsia="仿宋_GB2312"/>
        </w:rPr>
        <w:t>5、履行合同承诺函：提供具有履行合同所必需的设备和专业技术能力的承诺函。</w:t>
      </w:r>
    </w:p>
    <w:p>
      <w:pPr>
        <w:pStyle w:val="null3"/>
      </w:pPr>
      <w:r>
        <w:rPr>
          <w:rFonts w:ascii="仿宋_GB2312" w:hAnsi="仿宋_GB2312" w:cs="仿宋_GB2312" w:eastAsia="仿宋_GB2312"/>
        </w:rPr>
        <w:t>6、无重大违法记录书面声明：提供参加政府采购活动前3年内，在经营活动中没有重大违法记录的书面声明。</w:t>
      </w:r>
    </w:p>
    <w:p>
      <w:pPr>
        <w:pStyle w:val="null3"/>
      </w:pPr>
      <w:r>
        <w:rPr>
          <w:rFonts w:ascii="仿宋_GB2312" w:hAnsi="仿宋_GB2312" w:cs="仿宋_GB2312" w:eastAsia="仿宋_GB2312"/>
        </w:rPr>
        <w:t>7、落实政府采购政策需满足的资格要求：本项目专门面向中小企业采购，供应商应为中小微企业或监狱企业或残疾人福利性单位。 评审依据：供应商应为中型企业或小型、微型企业或监狱企业或残疾人福利性单位。供应商为中型、小型、微型企业的，提供《中小企业声明函》，供应商为监狱企业的，应提供监狱企业的证明文件；供应商为残疾人福利性单位的，应提供《残疾人福利性单位声明函》。</w:t>
      </w:r>
    </w:p>
    <w:p>
      <w:pPr>
        <w:pStyle w:val="null3"/>
      </w:pPr>
      <w:r>
        <w:rPr>
          <w:rFonts w:ascii="仿宋_GB2312" w:hAnsi="仿宋_GB2312" w:cs="仿宋_GB2312" w:eastAsia="仿宋_GB2312"/>
        </w:rPr>
        <w:t>8、法定代表人身份证明或法定代表人授权委托书：法定代表人直接参加谈判的，须提供法定代表人身份证明及其身份证电子件或扫描件；法定代表人授权他人参加谈判的，须提供法定代表人授权委托书（附法定代表人、被授权人身份证电子件或扫描件）。</w:t>
      </w:r>
    </w:p>
    <w:p>
      <w:pPr>
        <w:pStyle w:val="null3"/>
      </w:pPr>
      <w:r>
        <w:rPr>
          <w:rFonts w:ascii="仿宋_GB2312" w:hAnsi="仿宋_GB2312" w:cs="仿宋_GB2312" w:eastAsia="仿宋_GB2312"/>
        </w:rPr>
        <w:t>9、信用记录声明：供应商不得为“信用中国”网站(http://www.creditchina.gov.cn)列入“失信被执行人”（页面跳转至“中国执行信息公开网”http://zxgk.court.gov.cn/shixin/）和“重大税收违法失信主体”的供应商；不得为中国政府采购网(http://www.ccgp.gov.cn)“政府采购严重违法失信行为记录名单”中被财政部门禁止参加政府采购活动的供应商。 提供《供应商信用记录书面声明函》（按格式填写，提供原件）。经查，供应商未被列入“信用中国”网站记录的“失信被执行人”或“重大税收违法失信主体”名单；不处于“中国政府采购网”记录的“政府采购严重违法失信行为记录名单”中的禁止参加政府采购活动期间。</w:t>
      </w:r>
    </w:p>
    <w:p>
      <w:pPr>
        <w:pStyle w:val="null3"/>
      </w:pPr>
      <w:r>
        <w:rPr>
          <w:rFonts w:ascii="仿宋_GB2312" w:hAnsi="仿宋_GB2312" w:cs="仿宋_GB2312" w:eastAsia="仿宋_GB2312"/>
        </w:rPr>
        <w:t>10、控股管理关系：单位负责人为同一人或者存在直接控股、管理关系的供应商，不得参加同一合同下的政府采购活动。</w:t>
      </w:r>
    </w:p>
    <w:p>
      <w:pPr>
        <w:pStyle w:val="null3"/>
      </w:pPr>
      <w:r>
        <w:rPr>
          <w:rFonts w:ascii="仿宋_GB2312" w:hAnsi="仿宋_GB2312" w:cs="仿宋_GB2312" w:eastAsia="仿宋_GB2312"/>
        </w:rPr>
        <w:t>11、供应商书面声明：供应商未为本项目提供整体设计、规范编制或者项目管理、监理、检测等服务的书面声明。</w:t>
      </w:r>
    </w:p>
    <w:p>
      <w:pPr>
        <w:pStyle w:val="null3"/>
      </w:pPr>
      <w:r>
        <w:rPr>
          <w:rFonts w:ascii="仿宋_GB2312" w:hAnsi="仿宋_GB2312" w:cs="仿宋_GB2312" w:eastAsia="仿宋_GB2312"/>
        </w:rPr>
        <w:t>12、供应商参与谈判的承诺函：符合竞争性谈判文件要求要求。</w:t>
      </w:r>
    </w:p>
    <w:p>
      <w:pPr>
        <w:pStyle w:val="null3"/>
      </w:pPr>
      <w:r>
        <w:rPr>
          <w:rFonts w:ascii="仿宋_GB2312" w:hAnsi="仿宋_GB2312" w:cs="仿宋_GB2312" w:eastAsia="仿宋_GB2312"/>
        </w:rPr>
        <w:t>13、本项目不接受联合体投标，不允许分包：符合竞争性谈判文件要求要求。</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西安市生态环境局临潼分局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西安市临潼区东关街4号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610100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029-83812836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陕西正明项目管理有限公司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陕西省西安市雁塔区陕西省西安市雁塔区科技二路71号竹园天寰国际1807室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樊睿、刘晨星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029-88855325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参照国家计委颁发的《招标代理服务收费管理暂行办法》（计价格[2002]1980号）和国家发展和改革委员会办公厅颁发的《关于招标代理服务收费有关问题的通知》（发改办价格[2003]857号）的有关规定计取。2.成交单位在领取成交通知书前，须向采购代理机构一次性支付招标代理服务费。3.招标代理服务费交纳信息： 户名：陕西正明项目管理有限公司 开户行：中国民生银行股份有限公司西安枫林绿洲支行； 账号：170455461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西安市生态环境局临潼分局</w:t>
      </w:r>
      <w:r>
        <w:rPr>
          <w:rFonts w:ascii="仿宋_GB2312" w:hAnsi="仿宋_GB2312" w:cs="仿宋_GB2312" w:eastAsia="仿宋_GB2312"/>
        </w:rPr>
        <w:t>和</w:t>
      </w:r>
      <w:r>
        <w:rPr>
          <w:rFonts w:ascii="仿宋_GB2312" w:hAnsi="仿宋_GB2312" w:cs="仿宋_GB2312" w:eastAsia="仿宋_GB2312"/>
        </w:rPr>
        <w:t>陕西正明项目管理有限公司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西安市生态环境局临潼分局</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陕西正明项目管理有限公司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西安市生态环境局临潼分局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陕西正明项目管理有限公司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1.本项目采用一般程序进行验收。项目验收另有国家强制性规定的，按国家规定执行，验收费用由乙方承担，验收报告作为申请付款的凭证之一。 2.验收过程中产生纠纷的，由质量技术监督部门认定的检测机构检测,如为乙方原因造成的，由乙方承担检测费用；否则由甲方承担。 3.项目验收不合格，由乙方返工直至合格，有关返工、再行验收，以及给甲方造成的损失等费用由乙方承担。连续两次项目验收不合格的，甲方可终止合同，另行按规定选择其他供应商采购，由此带来的一切损失由乙方承担。 4.到货完成全部产品安装、调试、部署后开展项目初验，项目初验合格稳定运行三个月，各项指标参数均符合本次项目采购需求后开展项目最终验收。 5.项目验收前，乙方应将项目有关的全部资料，包括产品合格证、检测证书、产品资料、技术文档等移交甲方，项目资料作为验收的重要依据。</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陕西正明项目管理有限公司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陕西正明项目管理有限公司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陕西正明项目管理有限公司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 樊睿、刘晨星</w:t>
      </w:r>
    </w:p>
    <w:p>
      <w:pPr>
        <w:pStyle w:val="null3"/>
      </w:pPr>
      <w:r>
        <w:rPr>
          <w:rFonts w:ascii="仿宋_GB2312" w:hAnsi="仿宋_GB2312" w:cs="仿宋_GB2312" w:eastAsia="仿宋_GB2312"/>
        </w:rPr>
        <w:t>联系电话：029-88855325</w:t>
      </w:r>
    </w:p>
    <w:p>
      <w:pPr>
        <w:pStyle w:val="null3"/>
      </w:pPr>
      <w:r>
        <w:rPr>
          <w:rFonts w:ascii="仿宋_GB2312" w:hAnsi="仿宋_GB2312" w:cs="仿宋_GB2312" w:eastAsia="仿宋_GB2312"/>
        </w:rPr>
        <w:t>地址：陕西省西安市雁塔区科技二路71号竹园天寰国际1807室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采购1200套水暖炕改造设备，完成全区1200户农村“水暖炕”改造建设工作，解决部分群众煤改洁后取暖问题。</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水暖炕设备</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标的名称：水暖炕设备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一、项目概况：采购1200套水暖炕改造设备，完成全区1200户农村“水暖炕”改造建设工作，解决部分群众煤改洁后取暖问题。</w:t>
            </w:r>
          </w:p>
          <w:p>
            <w:pPr>
              <w:pStyle w:val="null3"/>
              <w:jc w:val="both"/>
            </w:pPr>
            <w:r>
              <w:rPr>
                <w:rFonts w:ascii="仿宋_GB2312" w:hAnsi="仿宋_GB2312" w:cs="仿宋_GB2312" w:eastAsia="仿宋_GB2312"/>
                <w:sz w:val="21"/>
              </w:rPr>
              <w:t>二、服务内容：</w:t>
            </w:r>
          </w:p>
          <w:p>
            <w:pPr>
              <w:pStyle w:val="null3"/>
              <w:jc w:val="both"/>
            </w:pPr>
            <w:r>
              <w:rPr>
                <w:rFonts w:ascii="仿宋_GB2312" w:hAnsi="仿宋_GB2312" w:cs="仿宋_GB2312" w:eastAsia="仿宋_GB2312"/>
                <w:sz w:val="21"/>
              </w:rPr>
              <w:t>1.采购1200套水暖炕设备，并完成安装和调试工作，确保安装用户正常使用。</w:t>
            </w:r>
          </w:p>
          <w:p>
            <w:pPr>
              <w:pStyle w:val="null3"/>
              <w:jc w:val="both"/>
            </w:pPr>
            <w:r>
              <w:rPr>
                <w:rFonts w:ascii="仿宋_GB2312" w:hAnsi="仿宋_GB2312" w:cs="仿宋_GB2312" w:eastAsia="仿宋_GB2312"/>
                <w:sz w:val="21"/>
              </w:rPr>
              <w:t>2.本项目分两个阶段实施，第一阶段完成采购预算价款的30%；第二阶段具体实施时间接采购人通知后实施。</w:t>
            </w:r>
          </w:p>
          <w:p>
            <w:pPr>
              <w:pStyle w:val="null3"/>
              <w:jc w:val="left"/>
            </w:pPr>
            <w:r>
              <w:rPr>
                <w:rFonts w:ascii="仿宋_GB2312" w:hAnsi="仿宋_GB2312" w:cs="仿宋_GB2312" w:eastAsia="仿宋_GB2312"/>
                <w:sz w:val="21"/>
                <w:b/>
              </w:rPr>
              <w:t>三、</w:t>
            </w:r>
            <w:r>
              <w:rPr>
                <w:rFonts w:ascii="仿宋_GB2312" w:hAnsi="仿宋_GB2312" w:cs="仿宋_GB2312" w:eastAsia="仿宋_GB2312"/>
                <w:sz w:val="21"/>
                <w:b/>
              </w:rPr>
              <w:t>商务要求</w:t>
            </w:r>
          </w:p>
          <w:p>
            <w:pPr>
              <w:pStyle w:val="null3"/>
              <w:ind w:firstLine="420"/>
              <w:jc w:val="left"/>
            </w:pPr>
            <w:r>
              <w:rPr>
                <w:rFonts w:ascii="仿宋_GB2312" w:hAnsi="仿宋_GB2312" w:cs="仿宋_GB2312" w:eastAsia="仿宋_GB2312"/>
                <w:sz w:val="21"/>
              </w:rPr>
              <w:t>（一）</w:t>
            </w:r>
            <w:r>
              <w:rPr>
                <w:rFonts w:ascii="仿宋_GB2312" w:hAnsi="仿宋_GB2312" w:cs="仿宋_GB2312" w:eastAsia="仿宋_GB2312"/>
                <w:sz w:val="21"/>
              </w:rPr>
              <w:t>供货期限</w:t>
            </w:r>
          </w:p>
          <w:p>
            <w:pPr>
              <w:pStyle w:val="null3"/>
              <w:ind w:firstLine="420"/>
              <w:jc w:val="left"/>
            </w:pPr>
            <w:r>
              <w:rPr>
                <w:rFonts w:ascii="仿宋_GB2312" w:hAnsi="仿宋_GB2312" w:cs="仿宋_GB2312" w:eastAsia="仿宋_GB2312"/>
                <w:sz w:val="21"/>
              </w:rPr>
              <w:t>自合同签订之日起</w:t>
            </w:r>
            <w:r>
              <w:rPr>
                <w:rFonts w:ascii="仿宋_GB2312" w:hAnsi="仿宋_GB2312" w:cs="仿宋_GB2312" w:eastAsia="仿宋_GB2312"/>
                <w:sz w:val="21"/>
              </w:rPr>
              <w:t>15</w:t>
            </w:r>
            <w:r>
              <w:rPr>
                <w:rFonts w:ascii="仿宋_GB2312" w:hAnsi="仿宋_GB2312" w:cs="仿宋_GB2312" w:eastAsia="仿宋_GB2312"/>
                <w:sz w:val="21"/>
              </w:rPr>
              <w:t>日历天</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（二）</w:t>
            </w:r>
            <w:r>
              <w:rPr>
                <w:rFonts w:ascii="仿宋_GB2312" w:hAnsi="仿宋_GB2312" w:cs="仿宋_GB2312" w:eastAsia="仿宋_GB2312"/>
                <w:sz w:val="21"/>
              </w:rPr>
              <w:t>款项结算</w:t>
            </w:r>
          </w:p>
          <w:p>
            <w:pPr>
              <w:pStyle w:val="null3"/>
              <w:ind w:firstLine="420"/>
              <w:jc w:val="left"/>
            </w:pPr>
            <w:r>
              <w:rPr>
                <w:rFonts w:ascii="仿宋_GB2312" w:hAnsi="仿宋_GB2312" w:cs="仿宋_GB2312" w:eastAsia="仿宋_GB2312"/>
                <w:sz w:val="21"/>
              </w:rPr>
              <w:t>①第一阶段实施完成并验收合格，根据实际发生的数量据实结算，最多支付至合同暂定金额的30%。</w:t>
            </w:r>
          </w:p>
          <w:p>
            <w:pPr>
              <w:pStyle w:val="null3"/>
              <w:ind w:firstLine="420"/>
              <w:jc w:val="left"/>
            </w:pPr>
            <w:r>
              <w:rPr>
                <w:rFonts w:ascii="仿宋_GB2312" w:hAnsi="仿宋_GB2312" w:cs="仿宋_GB2312" w:eastAsia="仿宋_GB2312"/>
                <w:sz w:val="21"/>
              </w:rPr>
              <w:t>②第二阶段实施完成并验收合格，根据实际发生数量一次性支付剩余款项。</w:t>
            </w:r>
          </w:p>
          <w:p>
            <w:pPr>
              <w:pStyle w:val="null3"/>
              <w:ind w:firstLine="420"/>
              <w:jc w:val="left"/>
            </w:pPr>
            <w:r>
              <w:rPr>
                <w:rFonts w:ascii="仿宋_GB2312" w:hAnsi="仿宋_GB2312" w:cs="仿宋_GB2312" w:eastAsia="仿宋_GB2312"/>
                <w:sz w:val="21"/>
              </w:rPr>
              <w:t>（三）</w:t>
            </w:r>
            <w:r>
              <w:rPr>
                <w:rFonts w:ascii="仿宋_GB2312" w:hAnsi="仿宋_GB2312" w:cs="仿宋_GB2312" w:eastAsia="仿宋_GB2312"/>
                <w:sz w:val="21"/>
              </w:rPr>
              <w:t>质量要求：符合国家相关质量标准和安全要求，并满足采购人的采购要求。</w:t>
            </w:r>
          </w:p>
          <w:p>
            <w:pPr>
              <w:pStyle w:val="null3"/>
              <w:ind w:firstLine="420"/>
              <w:jc w:val="left"/>
            </w:pPr>
            <w:r>
              <w:rPr>
                <w:rFonts w:ascii="仿宋_GB2312" w:hAnsi="仿宋_GB2312" w:cs="仿宋_GB2312" w:eastAsia="仿宋_GB2312"/>
                <w:sz w:val="21"/>
              </w:rPr>
              <w:t>（四）</w:t>
            </w:r>
            <w:r>
              <w:rPr>
                <w:rFonts w:ascii="仿宋_GB2312" w:hAnsi="仿宋_GB2312" w:cs="仿宋_GB2312" w:eastAsia="仿宋_GB2312"/>
                <w:sz w:val="21"/>
              </w:rPr>
              <w:t>质量验收标准或规范：</w:t>
            </w:r>
          </w:p>
          <w:p>
            <w:pPr>
              <w:pStyle w:val="null3"/>
              <w:ind w:firstLine="420"/>
              <w:jc w:val="left"/>
            </w:pPr>
            <w:r>
              <w:rPr>
                <w:rFonts w:ascii="仿宋_GB2312" w:hAnsi="仿宋_GB2312" w:cs="仿宋_GB2312" w:eastAsia="仿宋_GB2312"/>
                <w:sz w:val="21"/>
              </w:rPr>
              <w:t>1.本项目采用一般程序进行验收。项目验收另有国家强制性规定的，按国家规定执行，验收费用由乙方承担，验收报告作为申请付款的凭证之一。</w:t>
            </w:r>
          </w:p>
          <w:p>
            <w:pPr>
              <w:pStyle w:val="null3"/>
              <w:ind w:firstLine="420"/>
              <w:jc w:val="left"/>
            </w:pPr>
            <w:r>
              <w:rPr>
                <w:rFonts w:ascii="仿宋_GB2312" w:hAnsi="仿宋_GB2312" w:cs="仿宋_GB2312" w:eastAsia="仿宋_GB2312"/>
                <w:sz w:val="21"/>
              </w:rPr>
              <w:t>2.验收过程中产生纠纷的，由质量技术监督部门认定的检测机构检测,如为乙方原因造成的，由乙方承担检测费用；否则由甲方承担。</w:t>
            </w:r>
          </w:p>
          <w:p>
            <w:pPr>
              <w:pStyle w:val="null3"/>
              <w:ind w:firstLine="420"/>
              <w:jc w:val="left"/>
            </w:pPr>
            <w:r>
              <w:rPr>
                <w:rFonts w:ascii="仿宋_GB2312" w:hAnsi="仿宋_GB2312" w:cs="仿宋_GB2312" w:eastAsia="仿宋_GB2312"/>
                <w:sz w:val="21"/>
              </w:rPr>
              <w:t>3.项目验收不合格，由乙方返工直至合格，有关返工、再行验收，以及给甲方造成的损失等费用由乙方承担。连续两次项目验收不合格的，甲方可终止合同，另行按规定选择其他供应商采购，由此带来的一切损失由乙方承担。</w:t>
            </w:r>
          </w:p>
          <w:p>
            <w:pPr>
              <w:pStyle w:val="null3"/>
              <w:ind w:firstLine="420"/>
              <w:jc w:val="left"/>
            </w:pPr>
            <w:r>
              <w:rPr>
                <w:rFonts w:ascii="仿宋_GB2312" w:hAnsi="仿宋_GB2312" w:cs="仿宋_GB2312" w:eastAsia="仿宋_GB2312"/>
                <w:sz w:val="21"/>
              </w:rPr>
              <w:t>4.到货完成全部产品安装、调试、部署后开展项目初验，项目初验合格稳定运行三个月，各项指标参数均符合本次项目采购需求后开展项目最终验收。</w:t>
            </w:r>
          </w:p>
          <w:p>
            <w:pPr>
              <w:pStyle w:val="null3"/>
              <w:ind w:firstLine="420"/>
              <w:jc w:val="left"/>
            </w:pPr>
            <w:r>
              <w:rPr>
                <w:rFonts w:ascii="仿宋_GB2312" w:hAnsi="仿宋_GB2312" w:cs="仿宋_GB2312" w:eastAsia="仿宋_GB2312"/>
                <w:sz w:val="21"/>
              </w:rPr>
              <w:t>5.项目验收前，乙方应将项目有关的全部资料，包括产品合格证、检测证书、产品资料、技术文档等移交甲方，项目资料作为验收的重要依据。</w:t>
            </w:r>
          </w:p>
          <w:p>
            <w:pPr>
              <w:pStyle w:val="null3"/>
              <w:ind w:firstLine="420"/>
              <w:jc w:val="left"/>
            </w:pPr>
            <w:r>
              <w:rPr>
                <w:rFonts w:ascii="仿宋_GB2312" w:hAnsi="仿宋_GB2312" w:cs="仿宋_GB2312" w:eastAsia="仿宋_GB2312"/>
                <w:sz w:val="21"/>
              </w:rPr>
              <w:t>（五）</w:t>
            </w:r>
            <w:r>
              <w:rPr>
                <w:rFonts w:ascii="仿宋_GB2312" w:hAnsi="仿宋_GB2312" w:cs="仿宋_GB2312" w:eastAsia="仿宋_GB2312"/>
                <w:sz w:val="21"/>
              </w:rPr>
              <w:t>质保期：自项目验收合格之日起3年</w:t>
            </w:r>
          </w:p>
          <w:p>
            <w:pPr>
              <w:pStyle w:val="null3"/>
              <w:ind w:firstLine="420"/>
              <w:jc w:val="left"/>
            </w:pPr>
            <w:r>
              <w:rPr>
                <w:rFonts w:ascii="仿宋_GB2312" w:hAnsi="仿宋_GB2312" w:cs="仿宋_GB2312" w:eastAsia="仿宋_GB2312"/>
                <w:sz w:val="21"/>
              </w:rPr>
              <w:t>（六）产品要求：“水暖炕”设备坚持质量第一，安全可靠，节能环保。该产品要具备抗折、抗压、耐高温、过热保护、漏电保护等安全功能。</w:t>
            </w:r>
          </w:p>
          <w:p>
            <w:pPr>
              <w:pStyle w:val="null3"/>
              <w:ind w:firstLine="420"/>
              <w:jc w:val="left"/>
            </w:pPr>
            <w:r>
              <w:rPr>
                <w:rFonts w:ascii="仿宋_GB2312" w:hAnsi="仿宋_GB2312" w:cs="仿宋_GB2312" w:eastAsia="仿宋_GB2312"/>
                <w:sz w:val="21"/>
              </w:rPr>
              <w:t>（七）违约责任与解决争议的方法：</w:t>
            </w:r>
            <w:r>
              <w:rPr>
                <w:rFonts w:ascii="仿宋_GB2312" w:hAnsi="仿宋_GB2312" w:cs="仿宋_GB2312" w:eastAsia="仿宋_GB2312"/>
                <w:sz w:val="21"/>
              </w:rPr>
              <w:t>合同执行中发生争议的，当事人双方应协商解决，协商达不成一致时，可向人民法院提请诉讼。</w:t>
            </w:r>
          </w:p>
          <w:p>
            <w:pPr>
              <w:pStyle w:val="null3"/>
              <w:ind w:firstLine="422"/>
              <w:jc w:val="left"/>
            </w:pPr>
            <w:r>
              <w:rPr>
                <w:rFonts w:ascii="仿宋_GB2312" w:hAnsi="仿宋_GB2312" w:cs="仿宋_GB2312" w:eastAsia="仿宋_GB2312"/>
                <w:sz w:val="21"/>
              </w:rPr>
              <w:t>★</w:t>
            </w:r>
            <w:r>
              <w:rPr>
                <w:rFonts w:ascii="仿宋_GB2312" w:hAnsi="仿宋_GB2312" w:cs="仿宋_GB2312" w:eastAsia="仿宋_GB2312"/>
                <w:sz w:val="21"/>
                <w:b/>
              </w:rPr>
              <w:t>四、</w:t>
            </w:r>
            <w:r>
              <w:rPr>
                <w:rFonts w:ascii="仿宋_GB2312" w:hAnsi="仿宋_GB2312" w:cs="仿宋_GB2312" w:eastAsia="仿宋_GB2312"/>
                <w:sz w:val="21"/>
                <w:b/>
              </w:rPr>
              <w:t>技术要求</w:t>
            </w:r>
          </w:p>
          <w:p>
            <w:pPr>
              <w:pStyle w:val="null3"/>
              <w:ind w:firstLine="420"/>
              <w:jc w:val="left"/>
            </w:pPr>
            <w:r>
              <w:rPr>
                <w:rFonts w:ascii="仿宋_GB2312" w:hAnsi="仿宋_GB2312" w:cs="仿宋_GB2312" w:eastAsia="仿宋_GB2312"/>
                <w:sz w:val="21"/>
              </w:rPr>
              <w:t>1、主机</w:t>
            </w:r>
          </w:p>
          <w:p>
            <w:pPr>
              <w:pStyle w:val="null3"/>
              <w:ind w:firstLine="420"/>
              <w:jc w:val="left"/>
            </w:pPr>
            <w:r>
              <w:rPr>
                <w:rFonts w:ascii="仿宋_GB2312" w:hAnsi="仿宋_GB2312" w:cs="仿宋_GB2312" w:eastAsia="仿宋_GB2312"/>
                <w:sz w:val="21"/>
              </w:rPr>
              <w:t>①主机采用 PTC 陶瓷水电分离加热;</w:t>
            </w:r>
          </w:p>
          <w:p>
            <w:pPr>
              <w:pStyle w:val="null3"/>
              <w:ind w:firstLine="420"/>
              <w:jc w:val="left"/>
            </w:pPr>
            <w:r>
              <w:rPr>
                <w:rFonts w:ascii="仿宋_GB2312" w:hAnsi="仿宋_GB2312" w:cs="仿宋_GB2312" w:eastAsia="仿宋_GB2312"/>
                <w:sz w:val="21"/>
              </w:rPr>
              <w:t>②功率:800-1200W;</w:t>
            </w:r>
          </w:p>
          <w:p>
            <w:pPr>
              <w:pStyle w:val="null3"/>
              <w:ind w:firstLine="420"/>
              <w:jc w:val="left"/>
            </w:pPr>
            <w:r>
              <w:rPr>
                <w:rFonts w:ascii="仿宋_GB2312" w:hAnsi="仿宋_GB2312" w:cs="仿宋_GB2312" w:eastAsia="仿宋_GB2312"/>
                <w:sz w:val="21"/>
              </w:rPr>
              <w:t>③加热器温度可任意调节(带遥控器)</w:t>
            </w:r>
          </w:p>
          <w:p>
            <w:pPr>
              <w:pStyle w:val="null3"/>
              <w:ind w:firstLine="420"/>
              <w:jc w:val="left"/>
            </w:pPr>
            <w:r>
              <w:rPr>
                <w:rFonts w:ascii="仿宋_GB2312" w:hAnsi="仿宋_GB2312" w:cs="仿宋_GB2312" w:eastAsia="仿宋_GB2312"/>
                <w:sz w:val="21"/>
              </w:rPr>
              <w:t>④最高温度设置≥65 摄氏度;</w:t>
            </w:r>
          </w:p>
          <w:p>
            <w:pPr>
              <w:pStyle w:val="null3"/>
              <w:ind w:firstLine="420"/>
              <w:jc w:val="left"/>
            </w:pPr>
            <w:r>
              <w:rPr>
                <w:rFonts w:ascii="仿宋_GB2312" w:hAnsi="仿宋_GB2312" w:cs="仿宋_GB2312" w:eastAsia="仿宋_GB2312"/>
                <w:sz w:val="21"/>
              </w:rPr>
              <w:t>⑤超静音直流水泵输入功率≥3w，直流水泵额定电压≥12V，最大流量每分钟≥5升;扬程≥1.7 米；</w:t>
            </w:r>
          </w:p>
          <w:p>
            <w:pPr>
              <w:pStyle w:val="null3"/>
              <w:ind w:firstLine="420"/>
              <w:jc w:val="left"/>
            </w:pPr>
            <w:r>
              <w:rPr>
                <w:rFonts w:ascii="仿宋_GB2312" w:hAnsi="仿宋_GB2312" w:cs="仿宋_GB2312" w:eastAsia="仿宋_GB2312"/>
                <w:sz w:val="21"/>
              </w:rPr>
              <w:t>⑥直流水泵匹配的线路板有变压器，把高压电和低压电分开控制，行业称之为隔离方案线路板，控制面板为5V 直流电压。有高温断电、断水断电、干烧漏电保护等多重功能;</w:t>
            </w:r>
          </w:p>
          <w:p>
            <w:pPr>
              <w:pStyle w:val="null3"/>
              <w:ind w:firstLine="420"/>
              <w:jc w:val="left"/>
            </w:pPr>
            <w:r>
              <w:rPr>
                <w:rFonts w:ascii="仿宋_GB2312" w:hAnsi="仿宋_GB2312" w:cs="仿宋_GB2312" w:eastAsia="仿宋_GB2312"/>
                <w:sz w:val="21"/>
              </w:rPr>
              <w:t>⑦PTC 发热金属体（加热体）具备国家认可的第三方检测机构出具的 ROHS 验证报告；</w:t>
            </w:r>
          </w:p>
          <w:p>
            <w:pPr>
              <w:pStyle w:val="null3"/>
              <w:ind w:firstLine="420"/>
              <w:jc w:val="left"/>
            </w:pPr>
            <w:r>
              <w:rPr>
                <w:rFonts w:ascii="仿宋_GB2312" w:hAnsi="仿宋_GB2312" w:cs="仿宋_GB2312" w:eastAsia="仿宋_GB2312"/>
                <w:sz w:val="21"/>
              </w:rPr>
              <w:t>⑧电源配件须有 CCC 认证；</w:t>
            </w:r>
          </w:p>
          <w:p>
            <w:pPr>
              <w:pStyle w:val="null3"/>
              <w:ind w:firstLine="420"/>
              <w:jc w:val="left"/>
            </w:pPr>
            <w:r>
              <w:rPr>
                <w:rFonts w:ascii="仿宋_GB2312" w:hAnsi="仿宋_GB2312" w:cs="仿宋_GB2312" w:eastAsia="仿宋_GB2312"/>
                <w:sz w:val="21"/>
              </w:rPr>
              <w:t>⑨水箱容积≥950 毫升；</w:t>
            </w:r>
          </w:p>
          <w:p>
            <w:pPr>
              <w:pStyle w:val="null3"/>
              <w:ind w:firstLine="420"/>
              <w:jc w:val="left"/>
            </w:pPr>
            <w:r>
              <w:rPr>
                <w:rFonts w:ascii="仿宋_GB2312" w:hAnsi="仿宋_GB2312" w:cs="仿宋_GB2312" w:eastAsia="仿宋_GB2312"/>
                <w:sz w:val="21"/>
              </w:rPr>
              <w:t>⑩制造商授权货物的安全责任须保险公司通过产品责任险承保，且保单在有效期内。</w:t>
            </w:r>
          </w:p>
          <w:p>
            <w:pPr>
              <w:pStyle w:val="null3"/>
              <w:ind w:firstLine="420"/>
              <w:jc w:val="left"/>
            </w:pPr>
            <w:r>
              <w:rPr>
                <w:rFonts w:ascii="仿宋_GB2312" w:hAnsi="仿宋_GB2312" w:cs="仿宋_GB2312" w:eastAsia="仿宋_GB2312"/>
                <w:sz w:val="21"/>
              </w:rPr>
              <w:t>2、炕板</w:t>
            </w:r>
          </w:p>
          <w:p>
            <w:pPr>
              <w:pStyle w:val="null3"/>
              <w:ind w:firstLine="420"/>
              <w:jc w:val="left"/>
            </w:pPr>
            <w:r>
              <w:rPr>
                <w:rFonts w:ascii="仿宋_GB2312" w:hAnsi="仿宋_GB2312" w:cs="仿宋_GB2312" w:eastAsia="仿宋_GB2312"/>
                <w:sz w:val="21"/>
              </w:rPr>
              <w:t>①采用高密度嵌入式环保挤塑阻燃材料;</w:t>
            </w:r>
          </w:p>
          <w:p>
            <w:pPr>
              <w:pStyle w:val="null3"/>
              <w:ind w:firstLine="420"/>
              <w:jc w:val="left"/>
            </w:pPr>
            <w:r>
              <w:rPr>
                <w:rFonts w:ascii="仿宋_GB2312" w:hAnsi="仿宋_GB2312" w:cs="仿宋_GB2312" w:eastAsia="仿宋_GB2312"/>
                <w:sz w:val="21"/>
              </w:rPr>
              <w:t>②表面采用铝膜工艺，板材厚度≥18mm，容重每立方米≥40 千克，炕板为阻燃板，炕板设计铺设面积≥3.5平米，施工原则上以铺满炕面为标准。</w:t>
            </w:r>
          </w:p>
          <w:p>
            <w:pPr>
              <w:pStyle w:val="null3"/>
              <w:ind w:firstLine="420"/>
              <w:jc w:val="left"/>
            </w:pPr>
            <w:r>
              <w:rPr>
                <w:rFonts w:ascii="仿宋_GB2312" w:hAnsi="仿宋_GB2312" w:cs="仿宋_GB2312" w:eastAsia="仿宋_GB2312"/>
                <w:sz w:val="21"/>
              </w:rPr>
              <w:t>③阻燃炕板须使用原包料，不含再生料，防火等级高的同时，具有抗氧化，抗疲劳性能；阻燃炕板压缩强度≥300kPa。</w:t>
            </w:r>
          </w:p>
          <w:p>
            <w:pPr>
              <w:pStyle w:val="null3"/>
              <w:ind w:firstLine="420"/>
              <w:jc w:val="left"/>
            </w:pPr>
            <w:r>
              <w:rPr>
                <w:rFonts w:ascii="仿宋_GB2312" w:hAnsi="仿宋_GB2312" w:cs="仿宋_GB2312" w:eastAsia="仿宋_GB2312"/>
                <w:sz w:val="21"/>
              </w:rPr>
              <w:t>3、水管</w:t>
            </w:r>
          </w:p>
          <w:p>
            <w:pPr>
              <w:pStyle w:val="null3"/>
              <w:ind w:firstLine="420"/>
              <w:jc w:val="left"/>
            </w:pPr>
            <w:r>
              <w:rPr>
                <w:rFonts w:ascii="仿宋_GB2312" w:hAnsi="仿宋_GB2312" w:cs="仿宋_GB2312" w:eastAsia="仿宋_GB2312"/>
                <w:sz w:val="21"/>
              </w:rPr>
              <w:t>①水管采用PE-RT 水暖管；</w:t>
            </w:r>
          </w:p>
          <w:p>
            <w:pPr>
              <w:pStyle w:val="null3"/>
              <w:ind w:firstLine="420"/>
              <w:jc w:val="left"/>
            </w:pPr>
            <w:r>
              <w:rPr>
                <w:rFonts w:ascii="仿宋_GB2312" w:hAnsi="仿宋_GB2312" w:cs="仿宋_GB2312" w:eastAsia="仿宋_GB2312"/>
                <w:sz w:val="21"/>
              </w:rPr>
              <w:t>②水暖管外径≥10mm，壁厚≥1.5mm；</w:t>
            </w:r>
          </w:p>
          <w:p>
            <w:pPr>
              <w:pStyle w:val="null3"/>
              <w:ind w:firstLine="420"/>
              <w:jc w:val="left"/>
            </w:pPr>
            <w:r>
              <w:rPr>
                <w:rFonts w:ascii="仿宋_GB2312" w:hAnsi="仿宋_GB2312" w:cs="仿宋_GB2312" w:eastAsia="仿宋_GB2312"/>
                <w:sz w:val="21"/>
              </w:rPr>
              <w:t>③长期容热≥75℃，铺设面积≥3.5平米；</w:t>
            </w:r>
          </w:p>
          <w:p>
            <w:pPr>
              <w:pStyle w:val="null3"/>
              <w:ind w:firstLine="420"/>
              <w:jc w:val="left"/>
            </w:pPr>
            <w:r>
              <w:rPr>
                <w:rFonts w:ascii="仿宋_GB2312" w:hAnsi="仿宋_GB2312" w:cs="仿宋_GB2312" w:eastAsia="仿宋_GB2312"/>
                <w:sz w:val="21"/>
              </w:rPr>
              <w:t>④折叠实验≥15000次</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自合同签订之日起15日历天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第一阶段实施完成并验收合格，根据实际发生的数量据实结算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第二阶段实施完成并验收合格，根据实际发生数量一次性支付剩余款项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1.本项目采用一般程序进行验收。项目验收另有国家强制性规定的，按国家规定执行，验收费用由乙方承担，验收报告作为申请付款的凭证之一。 2.验收过程中产生纠纷的，由质量技术监督部门认定的检测机构检测,如为乙方原因造成的，由乙方承担检测费用；否则由甲方承担。 3.项目验收不合格，由乙方返工直至合格，有关返工、再行验收，以及给甲方造成的损失等费用由乙方承担。连续两次项目验收不合格的，甲方可终止合同，另行按规定选择其他供应商采购，由此带来的一切损失由乙方承担。 4.到货完成全部产品安装、调试、部署后开展项目初验，项目初验合格稳定运行三个月，各项指标参数均符合本次项目采购需求后开展项目最终验收。 5.项目验收前，乙方应将项目有关的全部资料，包括产品合格证、检测证书、产品资料、技术文档等移交甲方，项目资料作为验收的重要依据。</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符合国家相关质量标准和安全要求，并满足采购人的采购要求。</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合同执行中发生争议的，当事人双方应协商解决，协商达不成一致时，可向当地行政仲裁机关申请仲裁或者向人民法院提起诉讼。</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1.本项目合同包1为专门面向中小企业采购。 2.本项目属性为货物。 3.本项目合同包1采购标的所属行业为：工业；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第一部分资格证明文件.docx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第一部分资格证明文件.docx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第一部分资格证明文件.docx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第一部分资格证明文件.docx</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第一部分资格证明文件.docx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经审计资质单位出具赋码的完整2024年度的财务审计报告，成立时间至提交投标文件截止时间不足一年的可提供成立后任意时段的资产负债表；或其开标前六个月内基本存款账户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第一部分资格证明文件.docx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提供谈判时间前6个月内任意时段的缴纳证明。依法不需要交纳社会保障资金的供应商应提供相关文件证明。</w:t>
            </w:r>
          </w:p>
        </w:tc>
        <w:tc>
          <w:tcPr>
            <w:tcW w:type="dxa" w:w="1661"/>
          </w:tcPr>
          <w:p>
            <w:pPr>
              <w:pStyle w:val="null3"/>
            </w:pPr>
            <w:r>
              <w:rPr>
                <w:rFonts w:ascii="仿宋_GB2312" w:hAnsi="仿宋_GB2312" w:cs="仿宋_GB2312" w:eastAsia="仿宋_GB2312"/>
              </w:rPr>
              <w:t>第一部分资格证明文件.docx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提供谈判时间前6个月内任意时段的纳税证明或完税证明（除印花税外任意税种），纳税证明或完税证明上应有代收机构或税务机关的公章或业务专用章。依法免税的供应商应提供相关文件证明。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第一部分资格证明文件.docx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第一部分资格证明文件.docx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第一部分资格证明文件.docx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本项目专门面向中小企业采购，供应商应为中小微企业或监狱企业或残疾人福利性单位。 评审依据：供应商应为中型企业或小型、微型企业或监狱企业或残疾人福利性单位。供应商为中型、小型、微型企业的，提供《中小企业声明函》，供应商为监狱企业的，应提供监狱企业的证明文件；供应商为残疾人福利性单位的，应提供《残疾人福利性单位声明函》。</w:t>
            </w:r>
          </w:p>
        </w:tc>
        <w:tc>
          <w:tcPr>
            <w:tcW w:type="dxa" w:w="1661"/>
          </w:tcPr>
          <w:p>
            <w:pPr>
              <w:pStyle w:val="null3"/>
            </w:pPr>
            <w:r>
              <w:rPr>
                <w:rFonts w:ascii="仿宋_GB2312" w:hAnsi="仿宋_GB2312" w:cs="仿宋_GB2312" w:eastAsia="仿宋_GB2312"/>
              </w:rPr>
              <w:t>第一部分资格证明文件.docx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法定代表人直接参加谈判的，须提供法定代表人身份证明及其身份证电子件或扫描件；法定代表人授权他人参加谈判的，须提供法定代表人授权委托书（附法定代表人、被授权人身份证电子件或扫描件）。</w:t>
            </w:r>
          </w:p>
        </w:tc>
        <w:tc>
          <w:tcPr>
            <w:tcW w:type="dxa" w:w="1661"/>
          </w:tcPr>
          <w:p>
            <w:pPr>
              <w:pStyle w:val="null3"/>
            </w:pPr>
            <w:r>
              <w:rPr>
                <w:rFonts w:ascii="仿宋_GB2312" w:hAnsi="仿宋_GB2312" w:cs="仿宋_GB2312" w:eastAsia="仿宋_GB2312"/>
              </w:rPr>
              <w:t>第一部分资格证明文件.docx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信用记录声明</w:t>
            </w:r>
          </w:p>
        </w:tc>
        <w:tc>
          <w:tcPr>
            <w:tcW w:type="dxa" w:w="3322"/>
          </w:tcPr>
          <w:p>
            <w:pPr>
              <w:pStyle w:val="null3"/>
            </w:pPr>
            <w:r>
              <w:rPr>
                <w:rFonts w:ascii="仿宋_GB2312" w:hAnsi="仿宋_GB2312" w:cs="仿宋_GB2312" w:eastAsia="仿宋_GB2312"/>
              </w:rPr>
              <w:t>供应商不得为“信用中国”网站(http://www.creditchina.gov.cn)列入“失信被执行人”（页面跳转至“中国执行信息公开网”http://zxgk.court.gov.cn/shixin/）和“重大税收违法失信主体”的供应商；不得为中国政府采购网(http://www.ccgp.gov.cn)“政府采购严重违法失信行为记录名单”中被财政部门禁止参加政府采购活动的供应商。 提供《供应商信用记录书面声明函》（按格式填写，提供原件）。经查，供应商未被列入“信用中国”网站记录的“失信被执行人”或“重大税收违法失信主体”名单；不处于“中国政府采购网”记录的“政府采购严重违法失信行为记录名单”中的禁止参加政府采购活动期间。</w:t>
            </w:r>
          </w:p>
        </w:tc>
        <w:tc>
          <w:tcPr>
            <w:tcW w:type="dxa" w:w="1661"/>
          </w:tcPr>
          <w:p>
            <w:pPr>
              <w:pStyle w:val="null3"/>
            </w:pPr>
            <w:r>
              <w:rPr>
                <w:rFonts w:ascii="仿宋_GB2312" w:hAnsi="仿宋_GB2312" w:cs="仿宋_GB2312" w:eastAsia="仿宋_GB2312"/>
              </w:rPr>
              <w:t>第一部分资格证明文件.docx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单位负责人为同一人或者存在直接控股、管理关系的供应商，不得参加同一合同下的政府采购活动。</w:t>
            </w:r>
          </w:p>
        </w:tc>
        <w:tc>
          <w:tcPr>
            <w:tcW w:type="dxa" w:w="1661"/>
          </w:tcPr>
          <w:p>
            <w:pPr>
              <w:pStyle w:val="null3"/>
            </w:pPr>
            <w:r>
              <w:rPr>
                <w:rFonts w:ascii="仿宋_GB2312" w:hAnsi="仿宋_GB2312" w:cs="仿宋_GB2312" w:eastAsia="仿宋_GB2312"/>
              </w:rPr>
              <w:t>第一部分资格证明文件.docx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供应商书面声明</w:t>
            </w:r>
          </w:p>
        </w:tc>
        <w:tc>
          <w:tcPr>
            <w:tcW w:type="dxa" w:w="3322"/>
          </w:tcPr>
          <w:p>
            <w:pPr>
              <w:pStyle w:val="null3"/>
            </w:pPr>
            <w:r>
              <w:rPr>
                <w:rFonts w:ascii="仿宋_GB2312" w:hAnsi="仿宋_GB2312" w:cs="仿宋_GB2312" w:eastAsia="仿宋_GB2312"/>
              </w:rPr>
              <w:t>供应商未为本项目提供整体设计、规范编制或者项目管理、监理、检测等服务的书面声明。</w:t>
            </w:r>
          </w:p>
        </w:tc>
        <w:tc>
          <w:tcPr>
            <w:tcW w:type="dxa" w:w="1661"/>
          </w:tcPr>
          <w:p>
            <w:pPr>
              <w:pStyle w:val="null3"/>
            </w:pPr>
            <w:r>
              <w:rPr>
                <w:rFonts w:ascii="仿宋_GB2312" w:hAnsi="仿宋_GB2312" w:cs="仿宋_GB2312" w:eastAsia="仿宋_GB2312"/>
              </w:rPr>
              <w:t>第一部分资格证明文件.docx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供应商参与谈判的承诺函</w:t>
            </w:r>
          </w:p>
        </w:tc>
        <w:tc>
          <w:tcPr>
            <w:tcW w:type="dxa" w:w="3322"/>
          </w:tcPr>
          <w:p>
            <w:pPr>
              <w:pStyle w:val="null3"/>
            </w:pPr>
            <w:r>
              <w:rPr>
                <w:rFonts w:ascii="仿宋_GB2312" w:hAnsi="仿宋_GB2312" w:cs="仿宋_GB2312" w:eastAsia="仿宋_GB2312"/>
              </w:rPr>
              <w:t>符合竞争性谈判文件要求要求。</w:t>
            </w:r>
          </w:p>
        </w:tc>
        <w:tc>
          <w:tcPr>
            <w:tcW w:type="dxa" w:w="1661"/>
          </w:tcPr>
          <w:p>
            <w:pPr>
              <w:pStyle w:val="null3"/>
            </w:pPr>
            <w:r>
              <w:rPr>
                <w:rFonts w:ascii="仿宋_GB2312" w:hAnsi="仿宋_GB2312" w:cs="仿宋_GB2312" w:eastAsia="仿宋_GB2312"/>
              </w:rPr>
              <w:t>第一部分资格证明文件.docx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符合竞争性谈判文件要求要求。</w:t>
            </w:r>
          </w:p>
        </w:tc>
        <w:tc>
          <w:tcPr>
            <w:tcW w:type="dxa" w:w="1661"/>
          </w:tcPr>
          <w:p>
            <w:pPr>
              <w:pStyle w:val="null3"/>
            </w:pPr>
            <w:r>
              <w:rPr>
                <w:rFonts w:ascii="仿宋_GB2312" w:hAnsi="仿宋_GB2312" w:cs="仿宋_GB2312" w:eastAsia="仿宋_GB2312"/>
              </w:rPr>
              <w:t>第一部分资格证明文件.docx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符合竞争性谈判文件要求</w:t>
            </w:r>
          </w:p>
        </w:tc>
        <w:tc>
          <w:tcPr>
            <w:tcW w:type="dxa" w:w="1661"/>
          </w:tcPr>
          <w:p>
            <w:pPr>
              <w:pStyle w:val="null3"/>
            </w:pPr>
            <w:r>
              <w:rPr>
                <w:rFonts w:ascii="仿宋_GB2312" w:hAnsi="仿宋_GB2312" w:cs="仿宋_GB2312" w:eastAsia="仿宋_GB2312"/>
              </w:rPr>
              <w:t>响应文件封面 第二部分符合性证明文件.docx 标的清单 第一部分资格证明文件.docx 报价表 第三部分谈判方案.docx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（1）投标报价符合唯一性要求： （2）开标一览表填写符合要求； （3）计量单位、报价货币均符合竞争性谈判文件要求； （4）未超出竞争性谈判文件规定的最高限价。</w:t>
            </w:r>
          </w:p>
        </w:tc>
        <w:tc>
          <w:tcPr>
            <w:tcW w:type="dxa" w:w="1661"/>
          </w:tcPr>
          <w:p>
            <w:pPr>
              <w:pStyle w:val="null3"/>
            </w:pPr>
            <w:r>
              <w:rPr>
                <w:rFonts w:ascii="仿宋_GB2312" w:hAnsi="仿宋_GB2312" w:cs="仿宋_GB2312" w:eastAsia="仿宋_GB2312"/>
              </w:rPr>
              <w:t>第二部分符合性证明文件.docx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符合竞争性谈判文件要求</w:t>
            </w:r>
          </w:p>
        </w:tc>
        <w:tc>
          <w:tcPr>
            <w:tcW w:type="dxa" w:w="1661"/>
          </w:tcPr>
          <w:p>
            <w:pPr>
              <w:pStyle w:val="null3"/>
            </w:pPr>
            <w:r>
              <w:rPr>
                <w:rFonts w:ascii="仿宋_GB2312" w:hAnsi="仿宋_GB2312" w:cs="仿宋_GB2312" w:eastAsia="仿宋_GB2312"/>
              </w:rPr>
              <w:t>第二部分符合性证明文件.docx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符合竞争性谈判文件要求</w:t>
            </w:r>
          </w:p>
        </w:tc>
        <w:tc>
          <w:tcPr>
            <w:tcW w:type="dxa" w:w="1661"/>
          </w:tcPr>
          <w:p>
            <w:pPr>
              <w:pStyle w:val="null3"/>
            </w:pPr>
            <w:r>
              <w:rPr>
                <w:rFonts w:ascii="仿宋_GB2312" w:hAnsi="仿宋_GB2312" w:cs="仿宋_GB2312" w:eastAsia="仿宋_GB2312"/>
              </w:rPr>
              <w:t>第二部分符合性证明文件.docx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符合竞争性谈判文件要求</w:t>
            </w:r>
          </w:p>
        </w:tc>
        <w:tc>
          <w:tcPr>
            <w:tcW w:type="dxa" w:w="1661"/>
          </w:tcPr>
          <w:p>
            <w:pPr>
              <w:pStyle w:val="null3"/>
            </w:pPr>
            <w:r>
              <w:rPr>
                <w:rFonts w:ascii="仿宋_GB2312" w:hAnsi="仿宋_GB2312" w:cs="仿宋_GB2312" w:eastAsia="仿宋_GB2312"/>
              </w:rPr>
              <w:t>第二部分符合性证明文件.docx 标的清单 报价表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对竞争性谈判文件响应程度</w:t>
            </w:r>
          </w:p>
        </w:tc>
        <w:tc>
          <w:tcPr>
            <w:tcW w:type="dxa" w:w="3322"/>
          </w:tcPr>
          <w:p>
            <w:pPr>
              <w:pStyle w:val="null3"/>
            </w:pPr>
            <w:r>
              <w:rPr>
                <w:rFonts w:ascii="仿宋_GB2312" w:hAnsi="仿宋_GB2312" w:cs="仿宋_GB2312" w:eastAsia="仿宋_GB2312"/>
              </w:rPr>
              <w:t>要求实质性条款全部响应，竞争性谈判文件中标★项为实质性条款。（竞争性谈判文件未设置实质性条款时请忽略此项）</w:t>
            </w:r>
          </w:p>
        </w:tc>
        <w:tc>
          <w:tcPr>
            <w:tcW w:type="dxa" w:w="1661"/>
          </w:tcPr>
          <w:p>
            <w:pPr>
              <w:pStyle w:val="null3"/>
            </w:pPr>
            <w:r>
              <w:rPr>
                <w:rFonts w:ascii="仿宋_GB2312" w:hAnsi="仿宋_GB2312" w:cs="仿宋_GB2312" w:eastAsia="仿宋_GB2312"/>
              </w:rPr>
              <w:t>响应文件封面 第二部分符合性证明文件.docx 标的清单 第一部分资格证明文件.docx 报价表 第三部分谈判方案.docx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完全理解并接受竞争性谈判文件合同条款要求的描述</w:t>
            </w:r>
          </w:p>
        </w:tc>
        <w:tc>
          <w:tcPr>
            <w:tcW w:type="dxa" w:w="1661"/>
          </w:tcPr>
          <w:p>
            <w:pPr>
              <w:pStyle w:val="null3"/>
            </w:pPr>
            <w:r>
              <w:rPr>
                <w:rFonts w:ascii="仿宋_GB2312" w:hAnsi="仿宋_GB2312" w:cs="仿宋_GB2312" w:eastAsia="仿宋_GB2312"/>
              </w:rPr>
              <w:t>第二部分符合性证明文件.docx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8305"/>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本项目授权谈判小组直接确认成交供应商，确认后代理机构在陕西省政府采购网上发布成交结果公告，同时向成交供应商发出成交通知书。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详见附件：第一部分资格证明文件.docx</w:t>
      </w:r>
    </w:p>
    <w:p>
      <w:pPr>
        <w:pStyle w:val="null3"/>
        <w:ind w:firstLine="960"/>
      </w:pPr>
      <w:r>
        <w:rPr>
          <w:rFonts w:ascii="仿宋_GB2312" w:hAnsi="仿宋_GB2312" w:cs="仿宋_GB2312" w:eastAsia="仿宋_GB2312"/>
        </w:rPr>
        <w:t>详见附件：第二部分符合性证明文件.docx</w:t>
      </w:r>
    </w:p>
    <w:p>
      <w:pPr>
        <w:pStyle w:val="null3"/>
        <w:ind w:firstLine="960"/>
      </w:pPr>
      <w:r>
        <w:rPr>
          <w:rFonts w:ascii="仿宋_GB2312" w:hAnsi="仿宋_GB2312" w:cs="仿宋_GB2312" w:eastAsia="仿宋_GB2312"/>
        </w:rPr>
        <w:t>详见附件：第三部分谈判方案.docx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