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C68D4">
      <w:pPr>
        <w:pStyle w:val="3"/>
        <w:pageBreakBefore w:val="0"/>
        <w:shd w:val="clear" w:color="auto" w:fill="auto"/>
        <w:wordWrap w:val="0"/>
        <w:bidi w:val="0"/>
        <w:jc w:val="center"/>
        <w:rPr>
          <w:rFonts w:hint="eastAsia" w:ascii="仿宋" w:hAnsi="仿宋" w:eastAsia="仿宋" w:cs="仿宋"/>
          <w:b/>
          <w:bCs/>
          <w:color w:val="auto"/>
          <w:sz w:val="48"/>
          <w:szCs w:val="48"/>
          <w:highlight w:val="none"/>
          <w:lang w:val="en-US" w:eastAsia="zh-CN"/>
        </w:rPr>
      </w:pPr>
      <w:r>
        <w:rPr>
          <w:rFonts w:ascii="仿宋_GB2312" w:hAnsi="仿宋_GB2312" w:eastAsia="仿宋_GB2312" w:cs="仿宋_GB2312"/>
        </w:rPr>
        <w:t xml:space="preserve"> </w:t>
      </w:r>
    </w:p>
    <w:p w14:paraId="69698C57">
      <w:pPr>
        <w:pStyle w:val="3"/>
        <w:pageBreakBefore w:val="0"/>
        <w:shd w:val="clear" w:color="auto" w:fill="auto"/>
        <w:wordWrap w:val="0"/>
        <w:bidi w:val="0"/>
        <w:jc w:val="center"/>
        <w:rPr>
          <w:rFonts w:hint="eastAsia" w:ascii="仿宋" w:hAnsi="仿宋" w:eastAsia="仿宋" w:cs="仿宋"/>
          <w:b/>
          <w:bCs/>
          <w:color w:val="auto"/>
          <w:sz w:val="48"/>
          <w:szCs w:val="48"/>
          <w:highlight w:val="none"/>
          <w:lang w:val="en-US" w:eastAsia="zh-CN"/>
        </w:rPr>
      </w:pPr>
    </w:p>
    <w:p w14:paraId="599D31BC">
      <w:pPr>
        <w:pageBreakBefore w:val="0"/>
        <w:shd w:val="clear" w:color="auto" w:fill="auto"/>
        <w:wordWrap w:val="0"/>
        <w:bidi w:val="0"/>
        <w:spacing w:line="560" w:lineRule="exact"/>
        <w:jc w:val="center"/>
        <w:rPr>
          <w:rFonts w:hint="eastAsia" w:ascii="仿宋" w:hAnsi="仿宋" w:eastAsia="仿宋" w:cs="仿宋"/>
          <w:b/>
          <w:color w:val="auto"/>
          <w:sz w:val="56"/>
          <w:szCs w:val="56"/>
          <w:highlight w:val="none"/>
          <w:lang w:val="en-US" w:eastAsia="zh-CN"/>
        </w:rPr>
      </w:pPr>
    </w:p>
    <w:p w14:paraId="19B7B206">
      <w:pPr>
        <w:pageBreakBefore w:val="0"/>
        <w:shd w:val="clear" w:color="auto" w:fill="auto"/>
        <w:wordWrap w:val="0"/>
        <w:bidi w:val="0"/>
        <w:spacing w:line="560" w:lineRule="exact"/>
        <w:jc w:val="center"/>
        <w:rPr>
          <w:rFonts w:hint="eastAsia" w:ascii="仿宋" w:hAnsi="仿宋" w:eastAsia="仿宋" w:cs="仿宋"/>
          <w:b/>
          <w:color w:val="auto"/>
          <w:sz w:val="56"/>
          <w:szCs w:val="56"/>
          <w:highlight w:val="none"/>
        </w:rPr>
      </w:pPr>
      <w:r>
        <w:rPr>
          <w:rFonts w:hint="eastAsia" w:ascii="仿宋" w:hAnsi="仿宋" w:eastAsia="仿宋" w:cs="仿宋"/>
          <w:b/>
          <w:color w:val="auto"/>
          <w:sz w:val="56"/>
          <w:szCs w:val="56"/>
          <w:highlight w:val="none"/>
        </w:rPr>
        <w:t>临潼区“水暖炕”改造项目</w:t>
      </w:r>
    </w:p>
    <w:p w14:paraId="7AF793F6">
      <w:pPr>
        <w:rPr>
          <w:rFonts w:hint="eastAsia"/>
          <w:color w:val="auto"/>
          <w:highlight w:val="none"/>
        </w:rPr>
      </w:pPr>
    </w:p>
    <w:p w14:paraId="5B25AE18">
      <w:pPr>
        <w:rPr>
          <w:rFonts w:hint="eastAsia"/>
          <w:color w:val="auto"/>
          <w:highlight w:val="none"/>
        </w:rPr>
      </w:pPr>
    </w:p>
    <w:p w14:paraId="53ED6CA6">
      <w:pPr>
        <w:rPr>
          <w:rFonts w:hint="eastAsia"/>
          <w:color w:val="auto"/>
          <w:highlight w:val="none"/>
        </w:rPr>
      </w:pPr>
    </w:p>
    <w:p w14:paraId="57BAB2F6">
      <w:pPr>
        <w:pageBreakBefore w:val="0"/>
        <w:shd w:val="clear" w:color="auto" w:fill="auto"/>
        <w:wordWrap w:val="0"/>
        <w:bidi w:val="0"/>
        <w:rPr>
          <w:rFonts w:hint="eastAsia" w:ascii="仿宋" w:hAnsi="仿宋" w:eastAsia="仿宋" w:cs="仿宋"/>
          <w:color w:val="auto"/>
          <w:highlight w:val="none"/>
        </w:rPr>
      </w:pPr>
    </w:p>
    <w:p w14:paraId="362C3C8D">
      <w:pPr>
        <w:pageBreakBefore w:val="0"/>
        <w:shd w:val="clear" w:color="auto" w:fill="auto"/>
        <w:wordWrap w:val="0"/>
        <w:bidi w:val="0"/>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56"/>
          <w:szCs w:val="56"/>
          <w:highlight w:val="none"/>
        </w:rPr>
        <w:t>供货合同</w:t>
      </w:r>
    </w:p>
    <w:p w14:paraId="731A8EE8">
      <w:pPr>
        <w:pageBreakBefore w:val="0"/>
        <w:shd w:val="clear" w:color="auto" w:fill="auto"/>
        <w:wordWrap w:val="0"/>
        <w:bidi w:val="0"/>
        <w:spacing w:line="560" w:lineRule="exact"/>
        <w:rPr>
          <w:rFonts w:hint="eastAsia" w:ascii="仿宋" w:hAnsi="仿宋" w:eastAsia="仿宋" w:cs="仿宋"/>
          <w:b/>
          <w:color w:val="auto"/>
          <w:highlight w:val="none"/>
        </w:rPr>
      </w:pPr>
    </w:p>
    <w:p w14:paraId="199CFAEB">
      <w:pPr>
        <w:pageBreakBefore w:val="0"/>
        <w:shd w:val="clear" w:color="auto" w:fill="auto"/>
        <w:wordWrap w:val="0"/>
        <w:bidi w:val="0"/>
        <w:spacing w:line="560" w:lineRule="exact"/>
        <w:rPr>
          <w:rFonts w:hint="eastAsia" w:ascii="仿宋" w:hAnsi="仿宋" w:eastAsia="仿宋" w:cs="仿宋"/>
          <w:b/>
          <w:color w:val="auto"/>
          <w:highlight w:val="none"/>
        </w:rPr>
      </w:pPr>
    </w:p>
    <w:p w14:paraId="29F7C410">
      <w:pPr>
        <w:pageBreakBefore w:val="0"/>
        <w:shd w:val="clear" w:color="auto" w:fill="auto"/>
        <w:wordWrap w:val="0"/>
        <w:bidi w:val="0"/>
        <w:spacing w:line="560" w:lineRule="exact"/>
        <w:ind w:firstLine="843" w:firstLineChars="400"/>
        <w:rPr>
          <w:rFonts w:hint="eastAsia" w:ascii="仿宋" w:hAnsi="仿宋" w:eastAsia="仿宋" w:cs="仿宋"/>
          <w:b/>
          <w:color w:val="auto"/>
          <w:highlight w:val="none"/>
        </w:rPr>
      </w:pPr>
    </w:p>
    <w:p w14:paraId="22B64573">
      <w:pPr>
        <w:pageBreakBefore w:val="0"/>
        <w:shd w:val="clear" w:color="auto" w:fill="auto"/>
        <w:wordWrap w:val="0"/>
        <w:bidi w:val="0"/>
        <w:spacing w:line="720" w:lineRule="auto"/>
        <w:ind w:firstLine="1124" w:firstLineChars="40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w:t>
      </w:r>
    </w:p>
    <w:p w14:paraId="2A1FBE65">
      <w:pPr>
        <w:pStyle w:val="6"/>
        <w:pageBreakBefore w:val="0"/>
        <w:shd w:val="clear" w:color="auto" w:fill="auto"/>
        <w:wordWrap w:val="0"/>
        <w:bidi w:val="0"/>
        <w:spacing w:line="720" w:lineRule="auto"/>
        <w:rPr>
          <w:rFonts w:hint="eastAsia" w:ascii="仿宋" w:hAnsi="仿宋" w:eastAsia="仿宋" w:cs="仿宋"/>
          <w:color w:val="auto"/>
          <w:sz w:val="28"/>
          <w:szCs w:val="28"/>
          <w:highlight w:val="none"/>
        </w:rPr>
      </w:pPr>
    </w:p>
    <w:p w14:paraId="6763FDFE">
      <w:pPr>
        <w:pageBreakBefore w:val="0"/>
        <w:shd w:val="clear" w:color="auto" w:fill="auto"/>
        <w:wordWrap w:val="0"/>
        <w:bidi w:val="0"/>
        <w:spacing w:line="720" w:lineRule="auto"/>
        <w:ind w:firstLine="1124" w:firstLineChars="400"/>
        <w:rPr>
          <w:rFonts w:hint="eastAsia" w:ascii="仿宋" w:hAnsi="仿宋" w:eastAsia="仿宋" w:cs="仿宋"/>
          <w:color w:val="auto"/>
          <w:sz w:val="28"/>
          <w:szCs w:val="28"/>
          <w:highlight w:val="none"/>
          <w:lang w:eastAsia="zh-CN"/>
        </w:rPr>
      </w:pPr>
      <w:r>
        <w:rPr>
          <w:rFonts w:hint="eastAsia" w:ascii="仿宋" w:hAnsi="仿宋" w:eastAsia="仿宋" w:cs="仿宋"/>
          <w:b/>
          <w:color w:val="auto"/>
          <w:sz w:val="28"/>
          <w:szCs w:val="28"/>
          <w:highlight w:val="none"/>
        </w:rPr>
        <w:t>乙方：</w:t>
      </w:r>
    </w:p>
    <w:p w14:paraId="1B8E5563">
      <w:pPr>
        <w:pageBreakBefore w:val="0"/>
        <w:shd w:val="clear" w:color="auto" w:fill="auto"/>
        <w:wordWrap w:val="0"/>
        <w:bidi w:val="0"/>
        <w:spacing w:line="720" w:lineRule="auto"/>
        <w:jc w:val="center"/>
        <w:rPr>
          <w:rFonts w:hint="eastAsia" w:ascii="仿宋" w:hAnsi="仿宋" w:eastAsia="仿宋" w:cs="仿宋"/>
          <w:color w:val="auto"/>
          <w:sz w:val="28"/>
          <w:szCs w:val="28"/>
          <w:highlight w:val="none"/>
        </w:rPr>
      </w:pPr>
    </w:p>
    <w:p w14:paraId="67C7D98F">
      <w:pPr>
        <w:pageBreakBefore w:val="0"/>
        <w:shd w:val="clear" w:color="auto" w:fill="auto"/>
        <w:wordWrap w:val="0"/>
        <w:bidi w:val="0"/>
        <w:spacing w:line="72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日</w:t>
      </w:r>
    </w:p>
    <w:p w14:paraId="649135D8">
      <w:pPr>
        <w:pStyle w:val="9"/>
      </w:pPr>
      <w:r>
        <w:rPr>
          <w:rFonts w:ascii="仿宋_GB2312" w:hAnsi="仿宋_GB2312" w:eastAsia="仿宋_GB2312" w:cs="仿宋_GB2312"/>
        </w:rPr>
        <w:br w:type="textWrapping"/>
      </w:r>
      <w:r>
        <w:rPr>
          <w:rFonts w:ascii="仿宋_GB2312" w:hAnsi="仿宋_GB2312" w:eastAsia="仿宋_GB2312" w:cs="仿宋_GB2312"/>
        </w:rPr>
        <w:br w:type="page"/>
      </w:r>
    </w:p>
    <w:p w14:paraId="42C2A8D5">
      <w:pPr>
        <w:pageBreakBefore w:val="0"/>
        <w:wordWrap w:val="0"/>
        <w:bidi w:val="0"/>
        <w:adjustRightInd w:val="0"/>
        <w:snapToGrid w:val="0"/>
        <w:spacing w:line="360" w:lineRule="auto"/>
        <w:rPr>
          <w:rFonts w:hint="eastAsia" w:ascii="仿宋" w:hAnsi="仿宋" w:eastAsia="仿宋" w:cs="仿宋"/>
          <w:b/>
          <w:bCs/>
          <w:color w:val="auto"/>
          <w:highlight w:val="none"/>
          <w:u w:val="single"/>
          <w:lang w:eastAsia="zh-CN"/>
        </w:rPr>
      </w:pPr>
      <w:r>
        <w:rPr>
          <w:rFonts w:hint="eastAsia" w:ascii="仿宋" w:hAnsi="仿宋" w:eastAsia="仿宋" w:cs="仿宋"/>
          <w:b/>
          <w:bCs/>
          <w:color w:val="auto"/>
          <w:highlight w:val="none"/>
          <w:lang w:val="en-US" w:eastAsia="zh-CN"/>
        </w:rPr>
        <w:t>甲方</w:t>
      </w:r>
      <w:r>
        <w:rPr>
          <w:rFonts w:hint="eastAsia" w:ascii="仿宋" w:hAnsi="仿宋" w:eastAsia="仿宋" w:cs="仿宋"/>
          <w:b/>
          <w:bCs/>
          <w:color w:val="auto"/>
          <w:highlight w:val="none"/>
        </w:rPr>
        <w:t>（全称）：</w:t>
      </w:r>
    </w:p>
    <w:p w14:paraId="06B4576C">
      <w:pPr>
        <w:pageBreakBefore w:val="0"/>
        <w:wordWrap w:val="0"/>
        <w:bidi w:val="0"/>
        <w:adjustRightInd w:val="0"/>
        <w:snapToGrid w:val="0"/>
        <w:spacing w:line="360" w:lineRule="auto"/>
        <w:rPr>
          <w:rFonts w:hint="eastAsia" w:ascii="仿宋" w:hAnsi="仿宋" w:eastAsia="仿宋" w:cs="仿宋"/>
          <w:color w:val="auto"/>
          <w:highlight w:val="none"/>
          <w:lang w:eastAsia="zh-CN"/>
        </w:rPr>
      </w:pPr>
      <w:r>
        <w:rPr>
          <w:rFonts w:hint="eastAsia" w:ascii="仿宋" w:hAnsi="仿宋" w:eastAsia="仿宋" w:cs="仿宋"/>
          <w:b/>
          <w:bCs/>
          <w:color w:val="auto"/>
          <w:highlight w:val="none"/>
          <w:lang w:val="en-US" w:eastAsia="zh-CN"/>
        </w:rPr>
        <w:t>乙方</w:t>
      </w:r>
      <w:r>
        <w:rPr>
          <w:rFonts w:hint="eastAsia" w:ascii="仿宋" w:hAnsi="仿宋" w:eastAsia="仿宋" w:cs="仿宋"/>
          <w:b/>
          <w:bCs/>
          <w:color w:val="auto"/>
          <w:highlight w:val="none"/>
        </w:rPr>
        <w:t>（全称）：</w:t>
      </w:r>
    </w:p>
    <w:p w14:paraId="6863B3E1">
      <w:pPr>
        <w:pageBreakBefore w:val="0"/>
        <w:wordWrap w:val="0"/>
        <w:bidi w:val="0"/>
        <w:adjustRightInd/>
        <w:snapToGrid/>
        <w:spacing w:line="360" w:lineRule="auto"/>
        <w:ind w:firstLine="42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u w:val="single"/>
          <w:lang w:eastAsia="zh-CN"/>
        </w:rPr>
        <w:t>临潼区“水暖炕”改造项目</w:t>
      </w:r>
      <w:r>
        <w:rPr>
          <w:rFonts w:hint="eastAsia" w:ascii="仿宋" w:hAnsi="仿宋" w:eastAsia="仿宋" w:cs="仿宋"/>
          <w:color w:val="auto"/>
          <w:highlight w:val="none"/>
        </w:rPr>
        <w:t>，由</w:t>
      </w:r>
      <w:r>
        <w:rPr>
          <w:rFonts w:hint="eastAsia" w:ascii="仿宋" w:hAnsi="仿宋" w:eastAsia="仿宋" w:cs="仿宋"/>
          <w:color w:val="auto"/>
          <w:highlight w:val="none"/>
          <w:u w:val="single"/>
        </w:rPr>
        <w:t>陕西正明项目管理有限公司</w:t>
      </w:r>
      <w:r>
        <w:rPr>
          <w:rFonts w:hint="eastAsia" w:ascii="仿宋" w:hAnsi="仿宋" w:eastAsia="仿宋" w:cs="仿宋"/>
          <w:color w:val="auto"/>
          <w:highlight w:val="none"/>
        </w:rPr>
        <w:t>组织</w:t>
      </w:r>
      <w:r>
        <w:rPr>
          <w:rFonts w:hint="eastAsia" w:ascii="仿宋" w:hAnsi="仿宋" w:eastAsia="仿宋" w:cs="仿宋"/>
          <w:color w:val="auto"/>
          <w:highlight w:val="none"/>
          <w:lang w:eastAsia="zh-CN"/>
        </w:rPr>
        <w:t>竞争性谈判</w:t>
      </w:r>
      <w:r>
        <w:rPr>
          <w:rFonts w:hint="eastAsia" w:ascii="仿宋" w:hAnsi="仿宋" w:eastAsia="仿宋" w:cs="仿宋"/>
          <w:color w:val="auto"/>
          <w:highlight w:val="none"/>
        </w:rPr>
        <w:t>，选定</w:t>
      </w:r>
      <w:bookmarkStart w:id="0" w:name="OLE_LINK15"/>
      <w:r>
        <w:rPr>
          <w:rFonts w:hint="eastAsia" w:ascii="仿宋" w:hAnsi="仿宋" w:eastAsia="仿宋" w:cs="仿宋"/>
          <w:color w:val="auto"/>
          <w:highlight w:val="none"/>
          <w:u w:val="single"/>
          <w:lang w:val="en-US" w:eastAsia="zh-CN"/>
        </w:rPr>
        <w:t xml:space="preserve">               </w:t>
      </w:r>
      <w:bookmarkEnd w:id="0"/>
      <w:r>
        <w:rPr>
          <w:rFonts w:hint="eastAsia" w:ascii="仿宋" w:hAnsi="仿宋" w:eastAsia="仿宋" w:cs="仿宋"/>
          <w:color w:val="auto"/>
          <w:highlight w:val="none"/>
        </w:rPr>
        <w:t>为</w:t>
      </w:r>
      <w:bookmarkStart w:id="1" w:name="OLE_LINK16"/>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 xml:space="preserve">  包</w:t>
      </w:r>
      <w:r>
        <w:rPr>
          <w:rFonts w:hint="eastAsia" w:ascii="仿宋" w:hAnsi="仿宋" w:eastAsia="仿宋" w:cs="仿宋"/>
          <w:color w:val="auto"/>
          <w:highlight w:val="none"/>
          <w:u w:val="single"/>
          <w:lang w:eastAsia="zh-CN"/>
        </w:rPr>
        <w:t>）</w:t>
      </w:r>
      <w:bookmarkEnd w:id="1"/>
      <w:r>
        <w:rPr>
          <w:rFonts w:hint="eastAsia" w:ascii="仿宋" w:hAnsi="仿宋" w:eastAsia="仿宋" w:cs="仿宋"/>
          <w:color w:val="auto"/>
          <w:highlight w:val="none"/>
        </w:rPr>
        <w:t>中标单位。经</w:t>
      </w:r>
      <w:r>
        <w:rPr>
          <w:rFonts w:hint="eastAsia" w:ascii="仿宋" w:hAnsi="仿宋" w:eastAsia="仿宋" w:cs="仿宋"/>
          <w:b/>
          <w:bCs/>
          <w:color w:val="auto"/>
          <w:highlight w:val="none"/>
          <w:lang w:eastAsia="zh-CN"/>
        </w:rPr>
        <w:t>西安市生态环境局临潼分局</w:t>
      </w:r>
      <w:r>
        <w:rPr>
          <w:rFonts w:hint="eastAsia" w:ascii="仿宋" w:hAnsi="仿宋" w:eastAsia="仿宋" w:cs="仿宋"/>
          <w:color w:val="auto"/>
          <w:highlight w:val="none"/>
        </w:rPr>
        <w:t>（以下简称甲方）与</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（以下简称乙方）共同协商，达成如下合同条款。</w:t>
      </w:r>
    </w:p>
    <w:p w14:paraId="1B06CD9A">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一、项目概况</w:t>
      </w:r>
    </w:p>
    <w:p w14:paraId="0F99DD5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57B6B1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项目地点：</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5A8B312B">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二、组成本合同的文件</w:t>
      </w:r>
    </w:p>
    <w:p w14:paraId="6FD26E5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、成交通知书</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竞争性谈判文件</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竞争性谈判响应文件</w:t>
      </w:r>
      <w:r>
        <w:rPr>
          <w:rFonts w:hint="eastAsia" w:ascii="仿宋" w:hAnsi="仿宋" w:eastAsia="仿宋" w:cs="仿宋"/>
          <w:color w:val="auto"/>
          <w:sz w:val="24"/>
          <w:highlight w:val="none"/>
        </w:rPr>
        <w:t>、澄清、补充文件；</w:t>
      </w:r>
    </w:p>
    <w:p w14:paraId="02CD34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相关服务建议书；</w:t>
      </w:r>
    </w:p>
    <w:p w14:paraId="41B785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本合同签订后，双方依法签订的补充协议也是本合同文件的组成部分。</w:t>
      </w:r>
    </w:p>
    <w:p w14:paraId="64675099">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rPr>
        <w:t>三、合同</w:t>
      </w:r>
      <w:r>
        <w:rPr>
          <w:rFonts w:hint="eastAsia" w:ascii="仿宋" w:hAnsi="仿宋" w:eastAsia="仿宋" w:cs="仿宋"/>
          <w:b/>
          <w:color w:val="auto"/>
          <w:sz w:val="24"/>
          <w:highlight w:val="none"/>
          <w:lang w:eastAsia="zh-CN"/>
        </w:rPr>
        <w:t>总价</w:t>
      </w:r>
    </w:p>
    <w:p w14:paraId="4B4C82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合同总价暂定为预算价（大写）：</w:t>
      </w:r>
      <w:r>
        <w:rPr>
          <w:rFonts w:hint="eastAsia" w:ascii="仿宋" w:hAnsi="仿宋" w:eastAsia="仿宋" w:cs="仿宋"/>
          <w:b w:val="0"/>
          <w:bCs/>
          <w:color w:val="auto"/>
          <w:sz w:val="24"/>
          <w:highlight w:val="none"/>
          <w:u w:val="single"/>
          <w:lang w:val="en-US" w:eastAsia="zh-CN"/>
        </w:rPr>
        <w:t xml:space="preserve">                 </w:t>
      </w:r>
      <w:r>
        <w:rPr>
          <w:rFonts w:hint="eastAsia" w:ascii="仿宋" w:hAnsi="仿宋" w:eastAsia="仿宋" w:cs="仿宋"/>
          <w:b w:val="0"/>
          <w:bCs/>
          <w:color w:val="auto"/>
          <w:sz w:val="24"/>
          <w:highlight w:val="none"/>
          <w:lang w:val="en-US" w:eastAsia="zh-CN"/>
        </w:rPr>
        <w:t>（¥</w:t>
      </w:r>
      <w:r>
        <w:rPr>
          <w:rFonts w:hint="eastAsia" w:ascii="仿宋" w:hAnsi="仿宋" w:eastAsia="仿宋" w:cs="仿宋"/>
          <w:b w:val="0"/>
          <w:bCs/>
          <w:color w:val="auto"/>
          <w:sz w:val="24"/>
          <w:highlight w:val="none"/>
          <w:u w:val="single"/>
          <w:lang w:val="en-US" w:eastAsia="zh-CN"/>
        </w:rPr>
        <w:t xml:space="preserve">        </w:t>
      </w:r>
      <w:r>
        <w:rPr>
          <w:rFonts w:hint="eastAsia" w:ascii="仿宋" w:hAnsi="仿宋" w:eastAsia="仿宋" w:cs="仿宋"/>
          <w:b w:val="0"/>
          <w:bCs/>
          <w:color w:val="auto"/>
          <w:sz w:val="24"/>
          <w:highlight w:val="none"/>
          <w:lang w:val="en-US" w:eastAsia="zh-CN"/>
        </w:rPr>
        <w:t>），其中每套综合单价</w:t>
      </w:r>
      <w:r>
        <w:rPr>
          <w:rFonts w:hint="eastAsia" w:ascii="仿宋" w:hAnsi="仿宋" w:eastAsia="仿宋" w:cs="仿宋"/>
          <w:b w:val="0"/>
          <w:bCs/>
          <w:color w:val="auto"/>
          <w:sz w:val="24"/>
          <w:highlight w:val="none"/>
          <w:u w:val="single"/>
          <w:lang w:val="en-US" w:eastAsia="zh-CN"/>
        </w:rPr>
        <w:t xml:space="preserve">      </w:t>
      </w:r>
      <w:r>
        <w:rPr>
          <w:rFonts w:hint="eastAsia" w:ascii="仿宋" w:hAnsi="仿宋" w:eastAsia="仿宋" w:cs="仿宋"/>
          <w:b w:val="0"/>
          <w:bCs/>
          <w:color w:val="auto"/>
          <w:sz w:val="24"/>
          <w:highlight w:val="none"/>
          <w:lang w:val="en-US" w:eastAsia="zh-CN"/>
        </w:rPr>
        <w:t>元，本项目最终依据实际供货数量按综合单价据实结算</w:t>
      </w:r>
    </w:p>
    <w:p w14:paraId="1BD737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合同价格为含税价，不受市场价变化或实际工作量变化的影响。包括但不限于设备费、安装调试费、运输费、人工费、其他费用等本项目包含的全部费用。</w:t>
      </w:r>
    </w:p>
    <w:p w14:paraId="20ACB4C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附分项清单：</w:t>
      </w:r>
    </w:p>
    <w:tbl>
      <w:tblPr>
        <w:tblStyle w:val="7"/>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58112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74732DCB">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017" w:type="dxa"/>
            <w:noWrap w:val="0"/>
            <w:vAlign w:val="center"/>
          </w:tcPr>
          <w:p w14:paraId="1E01076D">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名称</w:t>
            </w:r>
          </w:p>
        </w:tc>
        <w:tc>
          <w:tcPr>
            <w:tcW w:w="963" w:type="dxa"/>
            <w:noWrap w:val="0"/>
            <w:vAlign w:val="center"/>
          </w:tcPr>
          <w:p w14:paraId="1A1A49B4">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品牌</w:t>
            </w:r>
          </w:p>
        </w:tc>
        <w:tc>
          <w:tcPr>
            <w:tcW w:w="1275" w:type="dxa"/>
            <w:noWrap w:val="0"/>
            <w:vAlign w:val="center"/>
          </w:tcPr>
          <w:p w14:paraId="0D6DEB13">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规格型号</w:t>
            </w:r>
          </w:p>
        </w:tc>
        <w:tc>
          <w:tcPr>
            <w:tcW w:w="1125" w:type="dxa"/>
            <w:noWrap w:val="0"/>
            <w:vAlign w:val="center"/>
          </w:tcPr>
          <w:p w14:paraId="711199E9">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080" w:type="dxa"/>
            <w:noWrap w:val="0"/>
            <w:vAlign w:val="center"/>
          </w:tcPr>
          <w:p w14:paraId="15390174">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1290" w:type="dxa"/>
            <w:noWrap w:val="0"/>
            <w:vAlign w:val="center"/>
          </w:tcPr>
          <w:p w14:paraId="7E899A41">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单价</w:t>
            </w:r>
          </w:p>
          <w:p w14:paraId="60A6C53A">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（元）</w:t>
            </w:r>
          </w:p>
        </w:tc>
        <w:tc>
          <w:tcPr>
            <w:tcW w:w="1116" w:type="dxa"/>
            <w:noWrap w:val="0"/>
            <w:vAlign w:val="center"/>
          </w:tcPr>
          <w:p w14:paraId="3F79CD83">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合计</w:t>
            </w:r>
          </w:p>
          <w:p w14:paraId="425F669D">
            <w:pPr>
              <w:adjustRightInd w:val="0"/>
              <w:snapToGrid w:val="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（万元）</w:t>
            </w:r>
          </w:p>
        </w:tc>
      </w:tr>
      <w:tr w14:paraId="3BB6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3BAB7CC1">
            <w:pPr>
              <w:adjustRightInd w:val="0"/>
              <w:snapToGrid w:val="0"/>
              <w:jc w:val="center"/>
              <w:rPr>
                <w:rFonts w:hint="eastAsia" w:ascii="仿宋" w:hAnsi="仿宋" w:eastAsia="仿宋" w:cs="仿宋"/>
                <w:color w:val="auto"/>
                <w:sz w:val="24"/>
                <w:highlight w:val="none"/>
              </w:rPr>
            </w:pPr>
          </w:p>
        </w:tc>
        <w:tc>
          <w:tcPr>
            <w:tcW w:w="1017" w:type="dxa"/>
            <w:noWrap w:val="0"/>
            <w:vAlign w:val="center"/>
          </w:tcPr>
          <w:p w14:paraId="161068CD">
            <w:pPr>
              <w:adjustRightInd w:val="0"/>
              <w:snapToGrid w:val="0"/>
              <w:jc w:val="center"/>
              <w:rPr>
                <w:rFonts w:hint="eastAsia" w:ascii="仿宋" w:hAnsi="仿宋" w:eastAsia="仿宋" w:cs="仿宋"/>
                <w:color w:val="auto"/>
                <w:sz w:val="24"/>
                <w:highlight w:val="none"/>
              </w:rPr>
            </w:pPr>
          </w:p>
        </w:tc>
        <w:tc>
          <w:tcPr>
            <w:tcW w:w="963" w:type="dxa"/>
            <w:noWrap w:val="0"/>
            <w:vAlign w:val="center"/>
          </w:tcPr>
          <w:p w14:paraId="180391EF">
            <w:pPr>
              <w:adjustRightInd w:val="0"/>
              <w:snapToGrid w:val="0"/>
              <w:jc w:val="center"/>
              <w:rPr>
                <w:rFonts w:hint="eastAsia" w:ascii="仿宋" w:hAnsi="仿宋" w:eastAsia="仿宋" w:cs="仿宋"/>
                <w:color w:val="auto"/>
                <w:sz w:val="24"/>
                <w:highlight w:val="none"/>
              </w:rPr>
            </w:pPr>
          </w:p>
        </w:tc>
        <w:tc>
          <w:tcPr>
            <w:tcW w:w="1275" w:type="dxa"/>
            <w:noWrap w:val="0"/>
            <w:vAlign w:val="center"/>
          </w:tcPr>
          <w:p w14:paraId="47C57D52">
            <w:pPr>
              <w:adjustRightInd w:val="0"/>
              <w:snapToGrid w:val="0"/>
              <w:jc w:val="center"/>
              <w:rPr>
                <w:rFonts w:hint="eastAsia" w:ascii="仿宋" w:hAnsi="仿宋" w:eastAsia="仿宋" w:cs="仿宋"/>
                <w:color w:val="auto"/>
                <w:sz w:val="24"/>
                <w:highlight w:val="none"/>
              </w:rPr>
            </w:pPr>
          </w:p>
        </w:tc>
        <w:tc>
          <w:tcPr>
            <w:tcW w:w="1125" w:type="dxa"/>
            <w:noWrap w:val="0"/>
            <w:vAlign w:val="center"/>
          </w:tcPr>
          <w:p w14:paraId="60C5605F">
            <w:pPr>
              <w:adjustRightInd w:val="0"/>
              <w:snapToGrid w:val="0"/>
              <w:jc w:val="center"/>
              <w:rPr>
                <w:rFonts w:hint="eastAsia" w:ascii="仿宋" w:hAnsi="仿宋" w:eastAsia="仿宋" w:cs="仿宋"/>
                <w:color w:val="auto"/>
                <w:sz w:val="24"/>
                <w:highlight w:val="none"/>
              </w:rPr>
            </w:pPr>
          </w:p>
        </w:tc>
        <w:tc>
          <w:tcPr>
            <w:tcW w:w="1080" w:type="dxa"/>
            <w:noWrap w:val="0"/>
            <w:vAlign w:val="center"/>
          </w:tcPr>
          <w:p w14:paraId="25F955BB">
            <w:pPr>
              <w:adjustRightInd w:val="0"/>
              <w:snapToGrid w:val="0"/>
              <w:jc w:val="center"/>
              <w:rPr>
                <w:rFonts w:hint="eastAsia" w:ascii="仿宋" w:hAnsi="仿宋" w:eastAsia="仿宋" w:cs="仿宋"/>
                <w:color w:val="auto"/>
                <w:sz w:val="24"/>
                <w:highlight w:val="none"/>
              </w:rPr>
            </w:pPr>
          </w:p>
        </w:tc>
        <w:tc>
          <w:tcPr>
            <w:tcW w:w="1290" w:type="dxa"/>
            <w:noWrap w:val="0"/>
            <w:vAlign w:val="center"/>
          </w:tcPr>
          <w:p w14:paraId="5CAA7A42">
            <w:pPr>
              <w:adjustRightInd w:val="0"/>
              <w:snapToGrid w:val="0"/>
              <w:jc w:val="center"/>
              <w:rPr>
                <w:rFonts w:hint="eastAsia" w:ascii="仿宋" w:hAnsi="仿宋" w:eastAsia="仿宋" w:cs="仿宋"/>
                <w:color w:val="auto"/>
                <w:sz w:val="24"/>
                <w:highlight w:val="none"/>
              </w:rPr>
            </w:pPr>
          </w:p>
        </w:tc>
        <w:tc>
          <w:tcPr>
            <w:tcW w:w="1116" w:type="dxa"/>
            <w:noWrap w:val="0"/>
            <w:vAlign w:val="center"/>
          </w:tcPr>
          <w:p w14:paraId="1E7B3729">
            <w:pPr>
              <w:adjustRightInd w:val="0"/>
              <w:snapToGrid w:val="0"/>
              <w:jc w:val="center"/>
              <w:rPr>
                <w:rFonts w:hint="eastAsia" w:ascii="仿宋" w:hAnsi="仿宋" w:eastAsia="仿宋" w:cs="仿宋"/>
                <w:color w:val="auto"/>
                <w:sz w:val="24"/>
                <w:highlight w:val="none"/>
              </w:rPr>
            </w:pPr>
          </w:p>
        </w:tc>
      </w:tr>
      <w:tr w14:paraId="5A5C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785CD1C0">
            <w:pPr>
              <w:adjustRightInd w:val="0"/>
              <w:snapToGrid w:val="0"/>
              <w:jc w:val="center"/>
              <w:rPr>
                <w:rFonts w:hint="eastAsia" w:ascii="仿宋" w:hAnsi="仿宋" w:eastAsia="仿宋" w:cs="仿宋"/>
                <w:color w:val="auto"/>
                <w:sz w:val="24"/>
                <w:highlight w:val="none"/>
              </w:rPr>
            </w:pPr>
          </w:p>
        </w:tc>
        <w:tc>
          <w:tcPr>
            <w:tcW w:w="1017" w:type="dxa"/>
            <w:noWrap w:val="0"/>
            <w:vAlign w:val="center"/>
          </w:tcPr>
          <w:p w14:paraId="7C74496F">
            <w:pPr>
              <w:adjustRightInd w:val="0"/>
              <w:snapToGrid w:val="0"/>
              <w:jc w:val="center"/>
              <w:rPr>
                <w:rFonts w:hint="eastAsia" w:ascii="仿宋" w:hAnsi="仿宋" w:eastAsia="仿宋" w:cs="仿宋"/>
                <w:color w:val="auto"/>
                <w:sz w:val="24"/>
                <w:highlight w:val="none"/>
              </w:rPr>
            </w:pPr>
          </w:p>
        </w:tc>
        <w:tc>
          <w:tcPr>
            <w:tcW w:w="963" w:type="dxa"/>
            <w:noWrap w:val="0"/>
            <w:vAlign w:val="center"/>
          </w:tcPr>
          <w:p w14:paraId="283BA988">
            <w:pPr>
              <w:adjustRightInd w:val="0"/>
              <w:snapToGrid w:val="0"/>
              <w:jc w:val="center"/>
              <w:rPr>
                <w:rFonts w:hint="eastAsia" w:ascii="仿宋" w:hAnsi="仿宋" w:eastAsia="仿宋" w:cs="仿宋"/>
                <w:color w:val="auto"/>
                <w:sz w:val="24"/>
                <w:highlight w:val="none"/>
              </w:rPr>
            </w:pPr>
          </w:p>
        </w:tc>
        <w:tc>
          <w:tcPr>
            <w:tcW w:w="1275" w:type="dxa"/>
            <w:noWrap w:val="0"/>
            <w:vAlign w:val="center"/>
          </w:tcPr>
          <w:p w14:paraId="2F86D23E">
            <w:pPr>
              <w:adjustRightInd w:val="0"/>
              <w:snapToGrid w:val="0"/>
              <w:jc w:val="center"/>
              <w:rPr>
                <w:rFonts w:hint="eastAsia" w:ascii="仿宋" w:hAnsi="仿宋" w:eastAsia="仿宋" w:cs="仿宋"/>
                <w:color w:val="auto"/>
                <w:sz w:val="24"/>
                <w:highlight w:val="none"/>
              </w:rPr>
            </w:pPr>
          </w:p>
        </w:tc>
        <w:tc>
          <w:tcPr>
            <w:tcW w:w="1125" w:type="dxa"/>
            <w:noWrap w:val="0"/>
            <w:vAlign w:val="center"/>
          </w:tcPr>
          <w:p w14:paraId="3FA475B6">
            <w:pPr>
              <w:adjustRightInd w:val="0"/>
              <w:snapToGrid w:val="0"/>
              <w:jc w:val="center"/>
              <w:rPr>
                <w:rFonts w:hint="eastAsia" w:ascii="仿宋" w:hAnsi="仿宋" w:eastAsia="仿宋" w:cs="仿宋"/>
                <w:color w:val="auto"/>
                <w:sz w:val="24"/>
                <w:highlight w:val="none"/>
              </w:rPr>
            </w:pPr>
          </w:p>
        </w:tc>
        <w:tc>
          <w:tcPr>
            <w:tcW w:w="1080" w:type="dxa"/>
            <w:noWrap w:val="0"/>
            <w:vAlign w:val="center"/>
          </w:tcPr>
          <w:p w14:paraId="4FB1B3A8">
            <w:pPr>
              <w:adjustRightInd w:val="0"/>
              <w:snapToGrid w:val="0"/>
              <w:jc w:val="center"/>
              <w:rPr>
                <w:rFonts w:hint="eastAsia" w:ascii="仿宋" w:hAnsi="仿宋" w:eastAsia="仿宋" w:cs="仿宋"/>
                <w:color w:val="auto"/>
                <w:sz w:val="24"/>
                <w:highlight w:val="none"/>
              </w:rPr>
            </w:pPr>
          </w:p>
        </w:tc>
        <w:tc>
          <w:tcPr>
            <w:tcW w:w="1290" w:type="dxa"/>
            <w:noWrap w:val="0"/>
            <w:vAlign w:val="center"/>
          </w:tcPr>
          <w:p w14:paraId="48957785">
            <w:pPr>
              <w:adjustRightInd w:val="0"/>
              <w:snapToGrid w:val="0"/>
              <w:jc w:val="center"/>
              <w:rPr>
                <w:rFonts w:hint="eastAsia" w:ascii="仿宋" w:hAnsi="仿宋" w:eastAsia="仿宋" w:cs="仿宋"/>
                <w:color w:val="auto"/>
                <w:sz w:val="24"/>
                <w:highlight w:val="none"/>
              </w:rPr>
            </w:pPr>
          </w:p>
        </w:tc>
        <w:tc>
          <w:tcPr>
            <w:tcW w:w="1116" w:type="dxa"/>
            <w:noWrap w:val="0"/>
            <w:vAlign w:val="center"/>
          </w:tcPr>
          <w:p w14:paraId="6E13BA39">
            <w:pPr>
              <w:adjustRightInd w:val="0"/>
              <w:snapToGrid w:val="0"/>
              <w:jc w:val="center"/>
              <w:rPr>
                <w:rFonts w:hint="eastAsia" w:ascii="仿宋" w:hAnsi="仿宋" w:eastAsia="仿宋" w:cs="仿宋"/>
                <w:color w:val="auto"/>
                <w:sz w:val="24"/>
                <w:highlight w:val="none"/>
              </w:rPr>
            </w:pPr>
          </w:p>
        </w:tc>
      </w:tr>
      <w:tr w14:paraId="40D89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6D642DF0">
            <w:pPr>
              <w:adjustRightInd w:val="0"/>
              <w:snapToGrid w:val="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合计金额：¥          万元；     大写：</w:t>
            </w:r>
          </w:p>
        </w:tc>
      </w:tr>
    </w:tbl>
    <w:p w14:paraId="48B12F3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注：此表应与</w:t>
      </w:r>
      <w:r>
        <w:rPr>
          <w:rFonts w:hint="eastAsia" w:ascii="仿宋" w:hAnsi="仿宋" w:eastAsia="仿宋" w:cs="仿宋"/>
          <w:color w:val="auto"/>
          <w:sz w:val="24"/>
          <w:highlight w:val="none"/>
          <w:lang w:eastAsia="zh-CN"/>
        </w:rPr>
        <w:t>竞争性谈判文件</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竞争性谈判响应文件</w:t>
      </w:r>
      <w:r>
        <w:rPr>
          <w:rFonts w:hint="eastAsia" w:ascii="仿宋" w:hAnsi="仿宋" w:eastAsia="仿宋" w:cs="仿宋"/>
          <w:color w:val="auto"/>
          <w:sz w:val="24"/>
          <w:highlight w:val="none"/>
        </w:rPr>
        <w:t>内容一致。</w:t>
      </w:r>
    </w:p>
    <w:p w14:paraId="507EE78F">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仿宋" w:hAnsi="仿宋" w:eastAsia="仿宋" w:cs="仿宋"/>
          <w:b/>
          <w:color w:val="auto"/>
          <w:sz w:val="24"/>
          <w:szCs w:val="22"/>
          <w:highlight w:val="none"/>
        </w:rPr>
      </w:pPr>
      <w:r>
        <w:rPr>
          <w:rFonts w:hint="eastAsia" w:ascii="仿宋" w:hAnsi="仿宋" w:eastAsia="仿宋" w:cs="仿宋"/>
          <w:b/>
          <w:color w:val="auto"/>
          <w:sz w:val="24"/>
          <w:szCs w:val="22"/>
          <w:highlight w:val="none"/>
        </w:rPr>
        <w:t>四、结算方式：</w:t>
      </w:r>
    </w:p>
    <w:p w14:paraId="676451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i w:val="0"/>
          <w:iCs/>
          <w:color w:val="auto"/>
          <w:sz w:val="24"/>
          <w:szCs w:val="24"/>
          <w:highlight w:val="none"/>
          <w:u w:val="none"/>
          <w:lang w:val="en-US" w:eastAsia="zh-CN"/>
        </w:rPr>
      </w:pPr>
      <w:r>
        <w:rPr>
          <w:rFonts w:hint="eastAsia" w:ascii="仿宋" w:hAnsi="仿宋" w:eastAsia="仿宋" w:cs="仿宋"/>
          <w:i w:val="0"/>
          <w:iCs/>
          <w:color w:val="auto"/>
          <w:sz w:val="24"/>
          <w:szCs w:val="24"/>
          <w:highlight w:val="none"/>
          <w:u w:val="none"/>
          <w:lang w:val="en-US" w:eastAsia="zh-CN"/>
        </w:rPr>
        <w:t>1.结算单位：银行转账，由采购人以人民币按单价据实结算。</w:t>
      </w:r>
    </w:p>
    <w:p w14:paraId="503A66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i w:val="0"/>
          <w:iCs/>
          <w:color w:val="auto"/>
          <w:sz w:val="24"/>
          <w:szCs w:val="24"/>
          <w:highlight w:val="none"/>
          <w:u w:val="none"/>
          <w:lang w:val="en-US" w:eastAsia="zh-CN"/>
        </w:rPr>
      </w:pPr>
      <w:r>
        <w:rPr>
          <w:rFonts w:hint="eastAsia" w:ascii="仿宋" w:hAnsi="仿宋" w:eastAsia="仿宋" w:cs="仿宋"/>
          <w:i w:val="0"/>
          <w:iCs/>
          <w:color w:val="auto"/>
          <w:sz w:val="24"/>
          <w:szCs w:val="24"/>
          <w:highlight w:val="none"/>
          <w:u w:val="none"/>
          <w:lang w:val="en-US" w:eastAsia="zh-CN"/>
        </w:rPr>
        <w:t>2.付款方式</w:t>
      </w:r>
    </w:p>
    <w:p w14:paraId="03B72D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i w:val="0"/>
          <w:iCs/>
          <w:color w:val="auto"/>
          <w:sz w:val="24"/>
          <w:szCs w:val="24"/>
          <w:highlight w:val="none"/>
          <w:u w:val="none"/>
          <w:lang w:val="en-US" w:eastAsia="zh-CN"/>
        </w:rPr>
      </w:pPr>
      <w:r>
        <w:rPr>
          <w:rFonts w:hint="eastAsia" w:ascii="仿宋" w:hAnsi="仿宋" w:eastAsia="仿宋" w:cs="仿宋"/>
          <w:i w:val="0"/>
          <w:iCs/>
          <w:color w:val="auto"/>
          <w:sz w:val="24"/>
          <w:szCs w:val="24"/>
          <w:highlight w:val="none"/>
          <w:u w:val="none"/>
          <w:lang w:val="en-US" w:eastAsia="zh-CN"/>
        </w:rPr>
        <w:t>①第一阶段实施完成并验收合格，根据实际发生的数量据实结算，最多支付至合同暂定金额的30%。</w:t>
      </w:r>
    </w:p>
    <w:p w14:paraId="7BFC5192">
      <w:pPr>
        <w:keepNext w:val="0"/>
        <w:keepLines w:val="0"/>
        <w:pageBreakBefore w:val="0"/>
        <w:widowControl w:val="0"/>
        <w:kinsoku/>
        <w:wordWrap/>
        <w:overflowPunct/>
        <w:topLinePunct w:val="0"/>
        <w:autoSpaceDE/>
        <w:autoSpaceDN/>
        <w:bidi w:val="0"/>
        <w:adjustRightInd/>
        <w:snapToGrid/>
        <w:spacing w:line="360" w:lineRule="auto"/>
        <w:ind w:left="479" w:leftChars="228" w:firstLine="0" w:firstLineChars="0"/>
        <w:jc w:val="left"/>
        <w:textAlignment w:val="auto"/>
        <w:rPr>
          <w:rFonts w:hint="default" w:ascii="仿宋" w:hAnsi="仿宋" w:eastAsia="仿宋" w:cs="仿宋"/>
          <w:i w:val="0"/>
          <w:iCs/>
          <w:color w:val="auto"/>
          <w:sz w:val="24"/>
          <w:szCs w:val="24"/>
          <w:highlight w:val="none"/>
          <w:u w:val="none"/>
          <w:lang w:val="en-US" w:eastAsia="zh-CN"/>
        </w:rPr>
      </w:pPr>
      <w:r>
        <w:rPr>
          <w:rFonts w:hint="eastAsia" w:ascii="仿宋" w:hAnsi="仿宋" w:eastAsia="仿宋" w:cs="仿宋"/>
          <w:i w:val="0"/>
          <w:iCs/>
          <w:color w:val="auto"/>
          <w:sz w:val="24"/>
          <w:szCs w:val="24"/>
          <w:highlight w:val="none"/>
          <w:u w:val="none"/>
          <w:lang w:val="en-US" w:eastAsia="zh-CN"/>
        </w:rPr>
        <w:t>②第二阶段实施完成并验收合格，根据实际发生数量一次性支付剩余款项。③乙方应在甲方付款前7日内向甲方开具全额合规的增值税发票，若乙方不能按合同约定的时间提供全额合规的增值税发票，则甲方付款期限顺延且不承担任何责任。</w:t>
      </w:r>
    </w:p>
    <w:p w14:paraId="618FB78D">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五</w:t>
      </w:r>
      <w:r>
        <w:rPr>
          <w:rFonts w:hint="eastAsia" w:ascii="仿宋" w:hAnsi="仿宋" w:eastAsia="仿宋" w:cs="仿宋"/>
          <w:b/>
          <w:color w:val="auto"/>
          <w:sz w:val="24"/>
          <w:highlight w:val="none"/>
        </w:rPr>
        <w:t>、</w:t>
      </w:r>
      <w:bookmarkStart w:id="2" w:name="OLE_LINK19"/>
      <w:r>
        <w:rPr>
          <w:rFonts w:hint="eastAsia" w:ascii="仿宋" w:hAnsi="仿宋" w:eastAsia="仿宋" w:cs="仿宋"/>
          <w:b/>
          <w:color w:val="auto"/>
          <w:sz w:val="24"/>
          <w:highlight w:val="none"/>
          <w:lang w:val="en-US" w:eastAsia="zh-CN"/>
        </w:rPr>
        <w:t>交货期</w:t>
      </w:r>
      <w:bookmarkEnd w:id="2"/>
      <w:r>
        <w:rPr>
          <w:rFonts w:hint="eastAsia" w:ascii="仿宋" w:hAnsi="仿宋" w:eastAsia="仿宋" w:cs="仿宋"/>
          <w:b/>
          <w:color w:val="auto"/>
          <w:sz w:val="24"/>
          <w:highlight w:val="none"/>
        </w:rPr>
        <w:t>、</w:t>
      </w:r>
      <w:r>
        <w:rPr>
          <w:rFonts w:hint="eastAsia" w:ascii="仿宋" w:hAnsi="仿宋" w:eastAsia="仿宋" w:cs="仿宋"/>
          <w:b/>
          <w:color w:val="auto"/>
          <w:sz w:val="24"/>
          <w:highlight w:val="none"/>
          <w:lang w:val="en-US" w:eastAsia="zh-CN"/>
        </w:rPr>
        <w:t>质保期</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lang w:val="en-US" w:eastAsia="zh-CN"/>
        </w:rPr>
        <w:t>交货</w:t>
      </w:r>
      <w:r>
        <w:rPr>
          <w:rFonts w:hint="eastAsia" w:ascii="仿宋" w:hAnsi="仿宋" w:eastAsia="仿宋" w:cs="仿宋"/>
          <w:b/>
          <w:color w:val="auto"/>
          <w:sz w:val="24"/>
          <w:highlight w:val="none"/>
        </w:rPr>
        <w:t>地点</w:t>
      </w:r>
    </w:p>
    <w:p w14:paraId="677EACAF">
      <w:pPr>
        <w:adjustRightInd w:val="0"/>
        <w:snapToGrid w:val="0"/>
        <w:spacing w:line="360" w:lineRule="auto"/>
        <w:ind w:firstLine="480" w:firstLineChars="200"/>
        <w:rPr>
          <w:rFonts w:hint="default"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1、交货期：自合同签订之日起15日历天；</w:t>
      </w:r>
    </w:p>
    <w:p w14:paraId="44947B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b w:val="0"/>
          <w:bCs w:val="0"/>
          <w:color w:val="auto"/>
          <w:sz w:val="24"/>
          <w:highlight w:val="none"/>
          <w:lang w:val="en-US" w:eastAsia="zh-CN"/>
        </w:rPr>
        <w:t>2、</w:t>
      </w:r>
      <w:r>
        <w:rPr>
          <w:rFonts w:hint="eastAsia" w:ascii="仿宋" w:hAnsi="仿宋" w:eastAsia="仿宋" w:cs="仿宋"/>
          <w:b w:val="0"/>
          <w:bCs w:val="0"/>
          <w:color w:val="auto"/>
          <w:sz w:val="24"/>
          <w:highlight w:val="none"/>
          <w:lang w:eastAsia="zh-CN"/>
        </w:rPr>
        <w:t>质保期：</w:t>
      </w:r>
      <w:r>
        <w:rPr>
          <w:rFonts w:hint="eastAsia" w:ascii="仿宋" w:hAnsi="仿宋" w:eastAsia="仿宋" w:cs="仿宋"/>
          <w:color w:val="auto"/>
          <w:sz w:val="24"/>
          <w:highlight w:val="none"/>
          <w:lang w:val="en-US" w:eastAsia="zh-CN"/>
        </w:rPr>
        <w:t>验收合格之日起3年；</w:t>
      </w:r>
    </w:p>
    <w:p w14:paraId="2175A2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交货</w:t>
      </w:r>
      <w:r>
        <w:rPr>
          <w:rFonts w:hint="eastAsia" w:ascii="仿宋" w:hAnsi="仿宋" w:eastAsia="仿宋" w:cs="仿宋"/>
          <w:color w:val="auto"/>
          <w:sz w:val="24"/>
          <w:highlight w:val="none"/>
        </w:rPr>
        <w:t>地点：</w:t>
      </w:r>
      <w:r>
        <w:rPr>
          <w:rFonts w:hint="eastAsia" w:ascii="仿宋" w:hAnsi="仿宋" w:eastAsia="仿宋" w:cs="仿宋"/>
          <w:color w:val="auto"/>
          <w:sz w:val="24"/>
          <w:highlight w:val="none"/>
          <w:lang w:eastAsia="zh-CN"/>
        </w:rPr>
        <w:t>采购人指定地点</w:t>
      </w:r>
      <w:r>
        <w:rPr>
          <w:rFonts w:hint="eastAsia" w:ascii="仿宋" w:hAnsi="仿宋" w:eastAsia="仿宋" w:cs="仿宋"/>
          <w:color w:val="auto"/>
          <w:sz w:val="24"/>
          <w:highlight w:val="none"/>
          <w:lang w:val="en-US" w:eastAsia="zh-CN"/>
        </w:rPr>
        <w:t>;</w:t>
      </w:r>
    </w:p>
    <w:p w14:paraId="561E3C61">
      <w:pPr>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highlight w:val="none"/>
          <w:lang w:eastAsia="zh-CN"/>
        </w:rPr>
        <w:t>六</w:t>
      </w:r>
      <w:r>
        <w:rPr>
          <w:rFonts w:hint="eastAsia" w:ascii="仿宋" w:hAnsi="仿宋" w:eastAsia="仿宋" w:cs="仿宋"/>
          <w:b/>
          <w:bCs/>
          <w:color w:val="auto"/>
          <w:sz w:val="24"/>
          <w:szCs w:val="24"/>
          <w:highlight w:val="none"/>
        </w:rPr>
        <w:t>、双方承诺</w:t>
      </w:r>
    </w:p>
    <w:p w14:paraId="1292C482">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承诺，按照本合同约定提供相关服务。</w:t>
      </w:r>
    </w:p>
    <w:p w14:paraId="32E0150B">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承诺，按照本合同约定支付服务款项。</w:t>
      </w:r>
    </w:p>
    <w:p w14:paraId="74AA1948">
      <w:pPr>
        <w:keepNext w:val="0"/>
        <w:keepLines w:val="0"/>
        <w:pageBreakBefore w:val="0"/>
        <w:widowControl w:val="0"/>
        <w:wordWrap/>
        <w:overflowPunct/>
        <w:topLinePunct w:val="0"/>
        <w:autoSpaceDE/>
        <w:autoSpaceDN/>
        <w:bidi w:val="0"/>
        <w:adjustRightInd w:val="0"/>
        <w:snapToGrid w:val="0"/>
        <w:spacing w:line="360" w:lineRule="auto"/>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七、内容及要求：</w:t>
      </w:r>
    </w:p>
    <w:p w14:paraId="0579EE44">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即交付的产品、服务内容、数量与</w:t>
      </w:r>
      <w:r>
        <w:rPr>
          <w:rFonts w:hint="eastAsia" w:ascii="仿宋" w:hAnsi="仿宋" w:eastAsia="仿宋" w:cs="仿宋"/>
          <w:color w:val="auto"/>
          <w:sz w:val="24"/>
          <w:szCs w:val="24"/>
          <w:highlight w:val="none"/>
          <w:lang w:eastAsia="zh-CN"/>
        </w:rPr>
        <w:t>竞争性谈判响应文件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竞争性谈判文件</w:t>
      </w:r>
      <w:r>
        <w:rPr>
          <w:rFonts w:hint="eastAsia" w:ascii="仿宋" w:hAnsi="仿宋" w:eastAsia="仿宋" w:cs="仿宋"/>
          <w:color w:val="auto"/>
          <w:sz w:val="24"/>
          <w:szCs w:val="24"/>
          <w:highlight w:val="none"/>
        </w:rPr>
        <w:t>等所指明的，或者与本合同所指明的产品、服务内容相一致。</w:t>
      </w:r>
    </w:p>
    <w:p w14:paraId="6232C5DF">
      <w:pPr>
        <w:spacing w:after="120" w:afterLines="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供货</w:t>
      </w:r>
      <w:r>
        <w:rPr>
          <w:rFonts w:hint="eastAsia" w:ascii="仿宋" w:hAnsi="仿宋" w:eastAsia="仿宋" w:cs="仿宋"/>
          <w:b/>
          <w:color w:val="auto"/>
          <w:sz w:val="32"/>
          <w:szCs w:val="32"/>
          <w:highlight w:val="none"/>
          <w:lang w:eastAsia="zh-CN"/>
        </w:rPr>
        <w:t>内容</w:t>
      </w:r>
      <w:r>
        <w:rPr>
          <w:rFonts w:hint="eastAsia" w:ascii="仿宋" w:hAnsi="仿宋" w:eastAsia="仿宋" w:cs="仿宋"/>
          <w:b/>
          <w:color w:val="auto"/>
          <w:sz w:val="32"/>
          <w:szCs w:val="32"/>
          <w:highlight w:val="none"/>
        </w:rPr>
        <w:t>一览表</w:t>
      </w:r>
    </w:p>
    <w:tbl>
      <w:tblPr>
        <w:tblStyle w:val="7"/>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1C9EC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6CC16348">
            <w:pPr>
              <w:spacing w:before="163" w:beforeLines="50"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960" w:type="dxa"/>
            <w:noWrap w:val="0"/>
            <w:vAlign w:val="center"/>
          </w:tcPr>
          <w:p w14:paraId="2BBECB6B">
            <w:pPr>
              <w:spacing w:before="163" w:beforeLines="50"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名称</w:t>
            </w:r>
          </w:p>
        </w:tc>
        <w:tc>
          <w:tcPr>
            <w:tcW w:w="1485" w:type="dxa"/>
            <w:tcBorders>
              <w:right w:val="single" w:color="auto" w:sz="4" w:space="0"/>
            </w:tcBorders>
            <w:noWrap w:val="0"/>
            <w:vAlign w:val="center"/>
          </w:tcPr>
          <w:p w14:paraId="687F36A1">
            <w:pPr>
              <w:pStyle w:val="2"/>
              <w:adjustRightInd w:val="0"/>
              <w:snapToGrid w:val="0"/>
              <w:ind w:left="0"/>
              <w:jc w:val="center"/>
              <w:rPr>
                <w:rFonts w:hint="eastAsia" w:ascii="仿宋" w:hAnsi="仿宋" w:eastAsia="仿宋" w:cs="仿宋"/>
                <w:color w:val="auto"/>
                <w:sz w:val="24"/>
                <w:szCs w:val="24"/>
                <w:highlight w:val="none"/>
                <w:lang w:val="en-US" w:eastAsia="zh-CN"/>
              </w:rPr>
            </w:pPr>
            <w:bookmarkStart w:id="3" w:name="_Toc27392"/>
            <w:r>
              <w:rPr>
                <w:rFonts w:hint="eastAsia" w:ascii="仿宋" w:hAnsi="仿宋" w:eastAsia="仿宋" w:cs="仿宋"/>
                <w:color w:val="auto"/>
                <w:sz w:val="24"/>
                <w:szCs w:val="24"/>
                <w:highlight w:val="none"/>
                <w:lang w:val="en-US" w:eastAsia="zh-CN"/>
              </w:rPr>
              <w:t>品牌、规格及型号</w:t>
            </w:r>
            <w:bookmarkEnd w:id="3"/>
          </w:p>
        </w:tc>
        <w:tc>
          <w:tcPr>
            <w:tcW w:w="1695" w:type="dxa"/>
            <w:tcBorders>
              <w:left w:val="single" w:color="auto" w:sz="4" w:space="0"/>
            </w:tcBorders>
            <w:noWrap w:val="0"/>
            <w:vAlign w:val="center"/>
          </w:tcPr>
          <w:p w14:paraId="5FA1A5CA">
            <w:pPr>
              <w:pStyle w:val="2"/>
              <w:adjustRightInd w:val="0"/>
              <w:snapToGrid w:val="0"/>
              <w:ind w:left="0"/>
              <w:jc w:val="center"/>
              <w:rPr>
                <w:rFonts w:hint="eastAsia" w:ascii="仿宋" w:hAnsi="仿宋" w:eastAsia="仿宋" w:cs="仿宋"/>
                <w:color w:val="auto"/>
                <w:sz w:val="24"/>
                <w:szCs w:val="24"/>
                <w:highlight w:val="none"/>
                <w:lang w:val="en-US" w:eastAsia="zh-CN"/>
              </w:rPr>
            </w:pPr>
            <w:bookmarkStart w:id="4" w:name="_Toc8981"/>
            <w:r>
              <w:rPr>
                <w:rFonts w:hint="eastAsia" w:ascii="仿宋" w:hAnsi="仿宋" w:eastAsia="仿宋" w:cs="仿宋"/>
                <w:color w:val="auto"/>
                <w:sz w:val="24"/>
                <w:szCs w:val="24"/>
                <w:highlight w:val="none"/>
                <w:lang w:val="en-US" w:eastAsia="zh-CN"/>
              </w:rPr>
              <w:t>原产地及制造厂名</w:t>
            </w:r>
            <w:bookmarkEnd w:id="4"/>
          </w:p>
        </w:tc>
        <w:tc>
          <w:tcPr>
            <w:tcW w:w="825" w:type="dxa"/>
            <w:tcBorders>
              <w:right w:val="single" w:color="auto" w:sz="4" w:space="0"/>
            </w:tcBorders>
            <w:noWrap w:val="0"/>
            <w:vAlign w:val="center"/>
          </w:tcPr>
          <w:p w14:paraId="179D9657">
            <w:pPr>
              <w:pStyle w:val="2"/>
              <w:adjustRightInd w:val="0"/>
              <w:snapToGrid w:val="0"/>
              <w:ind w:left="0"/>
              <w:jc w:val="center"/>
              <w:rPr>
                <w:rFonts w:hint="eastAsia" w:ascii="仿宋" w:hAnsi="仿宋" w:eastAsia="仿宋" w:cs="仿宋"/>
                <w:color w:val="auto"/>
                <w:sz w:val="24"/>
                <w:szCs w:val="24"/>
                <w:highlight w:val="none"/>
                <w:lang w:val="en-US" w:eastAsia="zh-CN"/>
              </w:rPr>
            </w:pPr>
            <w:bookmarkStart w:id="5" w:name="_Toc14127"/>
            <w:r>
              <w:rPr>
                <w:rFonts w:hint="eastAsia" w:ascii="仿宋" w:hAnsi="仿宋" w:eastAsia="仿宋" w:cs="仿宋"/>
                <w:color w:val="auto"/>
                <w:sz w:val="24"/>
                <w:szCs w:val="24"/>
                <w:highlight w:val="none"/>
                <w:lang w:val="en-US" w:eastAsia="zh-CN"/>
              </w:rPr>
              <w:t>单价</w:t>
            </w:r>
            <w:bookmarkEnd w:id="5"/>
          </w:p>
        </w:tc>
        <w:tc>
          <w:tcPr>
            <w:tcW w:w="735" w:type="dxa"/>
            <w:tcBorders>
              <w:left w:val="single" w:color="auto" w:sz="4" w:space="0"/>
              <w:right w:val="single" w:color="auto" w:sz="4" w:space="0"/>
            </w:tcBorders>
            <w:noWrap w:val="0"/>
            <w:vAlign w:val="center"/>
          </w:tcPr>
          <w:p w14:paraId="06C71C57">
            <w:pPr>
              <w:pStyle w:val="2"/>
              <w:adjustRightInd w:val="0"/>
              <w:snapToGrid w:val="0"/>
              <w:ind w:left="0"/>
              <w:jc w:val="center"/>
              <w:rPr>
                <w:rFonts w:hint="eastAsia" w:ascii="仿宋" w:hAnsi="仿宋" w:eastAsia="仿宋" w:cs="仿宋"/>
                <w:color w:val="auto"/>
                <w:sz w:val="24"/>
                <w:szCs w:val="24"/>
                <w:highlight w:val="none"/>
                <w:lang w:val="en-US" w:eastAsia="zh-CN"/>
              </w:rPr>
            </w:pPr>
            <w:bookmarkStart w:id="6" w:name="_Toc31109"/>
            <w:r>
              <w:rPr>
                <w:rFonts w:hint="eastAsia" w:ascii="仿宋" w:hAnsi="仿宋" w:eastAsia="仿宋" w:cs="仿宋"/>
                <w:color w:val="auto"/>
                <w:sz w:val="24"/>
                <w:szCs w:val="24"/>
                <w:highlight w:val="none"/>
                <w:lang w:val="en-US" w:eastAsia="zh-CN"/>
              </w:rPr>
              <w:t>数量</w:t>
            </w:r>
            <w:bookmarkEnd w:id="6"/>
          </w:p>
        </w:tc>
        <w:tc>
          <w:tcPr>
            <w:tcW w:w="1050" w:type="dxa"/>
            <w:tcBorders>
              <w:left w:val="single" w:color="auto" w:sz="4" w:space="0"/>
            </w:tcBorders>
            <w:noWrap w:val="0"/>
            <w:vAlign w:val="center"/>
          </w:tcPr>
          <w:p w14:paraId="6BFB1753">
            <w:pPr>
              <w:pStyle w:val="2"/>
              <w:ind w:left="0"/>
              <w:jc w:val="center"/>
              <w:rPr>
                <w:rFonts w:hint="eastAsia" w:ascii="仿宋" w:hAnsi="仿宋" w:eastAsia="仿宋" w:cs="仿宋"/>
                <w:color w:val="auto"/>
                <w:sz w:val="24"/>
                <w:szCs w:val="24"/>
                <w:highlight w:val="none"/>
                <w:lang w:val="en-US" w:eastAsia="zh-CN"/>
              </w:rPr>
            </w:pPr>
            <w:bookmarkStart w:id="7" w:name="_Toc23428"/>
            <w:r>
              <w:rPr>
                <w:rFonts w:hint="eastAsia" w:ascii="仿宋" w:hAnsi="仿宋" w:eastAsia="仿宋" w:cs="仿宋"/>
                <w:color w:val="auto"/>
                <w:sz w:val="24"/>
                <w:szCs w:val="24"/>
                <w:highlight w:val="none"/>
                <w:lang w:val="en-US" w:eastAsia="zh-CN"/>
              </w:rPr>
              <w:t>交付地点</w:t>
            </w:r>
            <w:bookmarkEnd w:id="7"/>
          </w:p>
        </w:tc>
        <w:tc>
          <w:tcPr>
            <w:tcW w:w="1215" w:type="dxa"/>
            <w:tcBorders>
              <w:right w:val="single" w:color="auto" w:sz="4" w:space="0"/>
            </w:tcBorders>
            <w:noWrap w:val="0"/>
            <w:vAlign w:val="center"/>
          </w:tcPr>
          <w:p w14:paraId="52FE1DD6">
            <w:pPr>
              <w:pStyle w:val="2"/>
              <w:ind w:left="0"/>
              <w:jc w:val="center"/>
              <w:rPr>
                <w:rFonts w:hint="eastAsia" w:ascii="仿宋" w:hAnsi="仿宋" w:eastAsia="仿宋" w:cs="仿宋"/>
                <w:color w:val="auto"/>
                <w:sz w:val="24"/>
                <w:szCs w:val="24"/>
                <w:highlight w:val="none"/>
                <w:lang w:val="en-US" w:eastAsia="zh-CN"/>
              </w:rPr>
            </w:pPr>
            <w:bookmarkStart w:id="8" w:name="_Toc2991"/>
            <w:r>
              <w:rPr>
                <w:rFonts w:hint="eastAsia" w:ascii="仿宋" w:hAnsi="仿宋" w:eastAsia="仿宋" w:cs="仿宋"/>
                <w:color w:val="auto"/>
                <w:sz w:val="24"/>
                <w:szCs w:val="24"/>
                <w:highlight w:val="none"/>
                <w:lang w:val="en-US" w:eastAsia="zh-CN"/>
              </w:rPr>
              <w:t>交付时间</w:t>
            </w:r>
            <w:bookmarkEnd w:id="8"/>
          </w:p>
        </w:tc>
        <w:tc>
          <w:tcPr>
            <w:tcW w:w="903" w:type="dxa"/>
            <w:tcBorders>
              <w:right w:val="single" w:color="auto" w:sz="4" w:space="0"/>
            </w:tcBorders>
            <w:noWrap w:val="0"/>
            <w:vAlign w:val="center"/>
          </w:tcPr>
          <w:p w14:paraId="0D6438D3">
            <w:pPr>
              <w:pStyle w:val="2"/>
              <w:ind w:left="0"/>
              <w:jc w:val="center"/>
              <w:rPr>
                <w:rFonts w:hint="eastAsia" w:ascii="仿宋" w:hAnsi="仿宋" w:eastAsia="仿宋" w:cs="仿宋"/>
                <w:color w:val="auto"/>
                <w:sz w:val="24"/>
                <w:szCs w:val="24"/>
                <w:highlight w:val="none"/>
                <w:lang w:val="en-US" w:eastAsia="zh-CN"/>
              </w:rPr>
            </w:pPr>
            <w:bookmarkStart w:id="9" w:name="_Toc17703"/>
            <w:r>
              <w:rPr>
                <w:rFonts w:hint="eastAsia" w:ascii="仿宋" w:hAnsi="仿宋" w:eastAsia="仿宋" w:cs="仿宋"/>
                <w:color w:val="auto"/>
                <w:sz w:val="24"/>
                <w:szCs w:val="24"/>
                <w:highlight w:val="none"/>
                <w:lang w:val="en-US" w:eastAsia="zh-CN"/>
              </w:rPr>
              <w:t>备注</w:t>
            </w:r>
            <w:bookmarkEnd w:id="9"/>
          </w:p>
        </w:tc>
      </w:tr>
      <w:tr w14:paraId="5444D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E7C461A">
            <w:pPr>
              <w:spacing w:before="163" w:beforeLines="50" w:line="360" w:lineRule="auto"/>
              <w:jc w:val="center"/>
              <w:rPr>
                <w:rFonts w:hint="eastAsia" w:ascii="仿宋" w:hAnsi="仿宋" w:eastAsia="仿宋" w:cs="仿宋"/>
                <w:color w:val="auto"/>
                <w:szCs w:val="24"/>
                <w:highlight w:val="none"/>
              </w:rPr>
            </w:pPr>
          </w:p>
        </w:tc>
        <w:tc>
          <w:tcPr>
            <w:tcW w:w="960" w:type="dxa"/>
            <w:noWrap w:val="0"/>
            <w:vAlign w:val="top"/>
          </w:tcPr>
          <w:p w14:paraId="793E26CC">
            <w:pPr>
              <w:spacing w:before="163" w:beforeLines="50" w:line="360" w:lineRule="auto"/>
              <w:jc w:val="center"/>
              <w:rPr>
                <w:rFonts w:hint="eastAsia" w:ascii="仿宋" w:hAnsi="仿宋" w:eastAsia="仿宋" w:cs="仿宋"/>
                <w:color w:val="auto"/>
                <w:szCs w:val="24"/>
                <w:highlight w:val="none"/>
              </w:rPr>
            </w:pPr>
          </w:p>
        </w:tc>
        <w:tc>
          <w:tcPr>
            <w:tcW w:w="1485" w:type="dxa"/>
            <w:tcBorders>
              <w:right w:val="single" w:color="auto" w:sz="4" w:space="0"/>
            </w:tcBorders>
            <w:noWrap w:val="0"/>
            <w:vAlign w:val="top"/>
          </w:tcPr>
          <w:p w14:paraId="43E716E1">
            <w:pPr>
              <w:spacing w:before="163" w:beforeLines="50" w:line="360" w:lineRule="auto"/>
              <w:jc w:val="center"/>
              <w:rPr>
                <w:rFonts w:hint="eastAsia" w:ascii="仿宋" w:hAnsi="仿宋" w:eastAsia="仿宋" w:cs="仿宋"/>
                <w:color w:val="auto"/>
                <w:szCs w:val="24"/>
                <w:highlight w:val="none"/>
              </w:rPr>
            </w:pPr>
          </w:p>
        </w:tc>
        <w:tc>
          <w:tcPr>
            <w:tcW w:w="1695" w:type="dxa"/>
            <w:tcBorders>
              <w:left w:val="single" w:color="auto" w:sz="4" w:space="0"/>
            </w:tcBorders>
            <w:noWrap w:val="0"/>
            <w:vAlign w:val="top"/>
          </w:tcPr>
          <w:p w14:paraId="5C081751">
            <w:pPr>
              <w:spacing w:before="163" w:beforeLines="50" w:line="360" w:lineRule="auto"/>
              <w:jc w:val="center"/>
              <w:rPr>
                <w:rFonts w:hint="eastAsia" w:ascii="仿宋" w:hAnsi="仿宋" w:eastAsia="仿宋" w:cs="仿宋"/>
                <w:color w:val="auto"/>
                <w:szCs w:val="24"/>
                <w:highlight w:val="none"/>
              </w:rPr>
            </w:pPr>
          </w:p>
        </w:tc>
        <w:tc>
          <w:tcPr>
            <w:tcW w:w="825" w:type="dxa"/>
            <w:tcBorders>
              <w:right w:val="single" w:color="auto" w:sz="4" w:space="0"/>
            </w:tcBorders>
            <w:noWrap w:val="0"/>
            <w:vAlign w:val="top"/>
          </w:tcPr>
          <w:p w14:paraId="5FE595B5">
            <w:pPr>
              <w:spacing w:before="163" w:beforeLines="50" w:line="360" w:lineRule="auto"/>
              <w:jc w:val="center"/>
              <w:rPr>
                <w:rFonts w:hint="eastAsia" w:ascii="仿宋" w:hAnsi="仿宋" w:eastAsia="仿宋" w:cs="仿宋"/>
                <w:color w:val="auto"/>
                <w:szCs w:val="24"/>
                <w:highlight w:val="none"/>
              </w:rPr>
            </w:pPr>
          </w:p>
        </w:tc>
        <w:tc>
          <w:tcPr>
            <w:tcW w:w="735" w:type="dxa"/>
            <w:tcBorders>
              <w:left w:val="single" w:color="auto" w:sz="4" w:space="0"/>
              <w:right w:val="single" w:color="auto" w:sz="4" w:space="0"/>
            </w:tcBorders>
            <w:noWrap w:val="0"/>
            <w:vAlign w:val="top"/>
          </w:tcPr>
          <w:p w14:paraId="1D1A6BC7">
            <w:pPr>
              <w:spacing w:before="163" w:beforeLines="50" w:line="360" w:lineRule="auto"/>
              <w:jc w:val="center"/>
              <w:rPr>
                <w:rFonts w:hint="eastAsia" w:ascii="仿宋" w:hAnsi="仿宋" w:eastAsia="仿宋" w:cs="仿宋"/>
                <w:color w:val="auto"/>
                <w:szCs w:val="24"/>
                <w:highlight w:val="none"/>
              </w:rPr>
            </w:pPr>
          </w:p>
        </w:tc>
        <w:tc>
          <w:tcPr>
            <w:tcW w:w="1050" w:type="dxa"/>
            <w:tcBorders>
              <w:left w:val="single" w:color="auto" w:sz="4" w:space="0"/>
            </w:tcBorders>
            <w:noWrap w:val="0"/>
            <w:vAlign w:val="top"/>
          </w:tcPr>
          <w:p w14:paraId="3FA2BF0A">
            <w:pPr>
              <w:spacing w:before="163" w:beforeLines="50" w:line="360" w:lineRule="auto"/>
              <w:jc w:val="center"/>
              <w:rPr>
                <w:rFonts w:hint="eastAsia" w:ascii="仿宋" w:hAnsi="仿宋" w:eastAsia="仿宋" w:cs="仿宋"/>
                <w:color w:val="auto"/>
                <w:szCs w:val="24"/>
                <w:highlight w:val="none"/>
              </w:rPr>
            </w:pPr>
          </w:p>
        </w:tc>
        <w:tc>
          <w:tcPr>
            <w:tcW w:w="1215" w:type="dxa"/>
            <w:tcBorders>
              <w:right w:val="single" w:color="auto" w:sz="4" w:space="0"/>
            </w:tcBorders>
            <w:noWrap w:val="0"/>
            <w:vAlign w:val="top"/>
          </w:tcPr>
          <w:p w14:paraId="5EE6753A">
            <w:pPr>
              <w:spacing w:before="163" w:beforeLines="50" w:line="360" w:lineRule="auto"/>
              <w:jc w:val="center"/>
              <w:rPr>
                <w:rFonts w:hint="eastAsia" w:ascii="仿宋" w:hAnsi="仿宋" w:eastAsia="仿宋" w:cs="仿宋"/>
                <w:color w:val="auto"/>
                <w:szCs w:val="24"/>
                <w:highlight w:val="none"/>
              </w:rPr>
            </w:pPr>
          </w:p>
        </w:tc>
        <w:tc>
          <w:tcPr>
            <w:tcW w:w="903" w:type="dxa"/>
            <w:tcBorders>
              <w:right w:val="single" w:color="auto" w:sz="4" w:space="0"/>
            </w:tcBorders>
            <w:noWrap w:val="0"/>
            <w:vAlign w:val="top"/>
          </w:tcPr>
          <w:p w14:paraId="314F84A7">
            <w:pPr>
              <w:spacing w:before="163" w:beforeLines="50" w:line="360" w:lineRule="auto"/>
              <w:jc w:val="center"/>
              <w:rPr>
                <w:rFonts w:hint="eastAsia" w:ascii="仿宋" w:hAnsi="仿宋" w:eastAsia="仿宋" w:cs="仿宋"/>
                <w:color w:val="auto"/>
                <w:szCs w:val="24"/>
                <w:highlight w:val="none"/>
              </w:rPr>
            </w:pPr>
          </w:p>
        </w:tc>
      </w:tr>
      <w:tr w14:paraId="4E020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D86603E">
            <w:pPr>
              <w:spacing w:before="163" w:beforeLines="50" w:line="360" w:lineRule="auto"/>
              <w:jc w:val="center"/>
              <w:rPr>
                <w:rFonts w:hint="eastAsia" w:ascii="仿宋" w:hAnsi="仿宋" w:eastAsia="仿宋" w:cs="仿宋"/>
                <w:color w:val="auto"/>
                <w:szCs w:val="24"/>
                <w:highlight w:val="none"/>
              </w:rPr>
            </w:pPr>
          </w:p>
        </w:tc>
        <w:tc>
          <w:tcPr>
            <w:tcW w:w="960" w:type="dxa"/>
            <w:noWrap w:val="0"/>
            <w:vAlign w:val="top"/>
          </w:tcPr>
          <w:p w14:paraId="271489D6">
            <w:pPr>
              <w:spacing w:before="163" w:beforeLines="50" w:line="360" w:lineRule="auto"/>
              <w:jc w:val="center"/>
              <w:rPr>
                <w:rFonts w:hint="eastAsia" w:ascii="仿宋" w:hAnsi="仿宋" w:eastAsia="仿宋" w:cs="仿宋"/>
                <w:color w:val="auto"/>
                <w:szCs w:val="24"/>
                <w:highlight w:val="none"/>
              </w:rPr>
            </w:pPr>
          </w:p>
        </w:tc>
        <w:tc>
          <w:tcPr>
            <w:tcW w:w="1485" w:type="dxa"/>
            <w:tcBorders>
              <w:right w:val="single" w:color="auto" w:sz="4" w:space="0"/>
            </w:tcBorders>
            <w:noWrap w:val="0"/>
            <w:vAlign w:val="top"/>
          </w:tcPr>
          <w:p w14:paraId="37F1CB73">
            <w:pPr>
              <w:spacing w:before="163" w:beforeLines="50" w:line="360" w:lineRule="auto"/>
              <w:jc w:val="center"/>
              <w:rPr>
                <w:rFonts w:hint="eastAsia" w:ascii="仿宋" w:hAnsi="仿宋" w:eastAsia="仿宋" w:cs="仿宋"/>
                <w:color w:val="auto"/>
                <w:szCs w:val="24"/>
                <w:highlight w:val="none"/>
              </w:rPr>
            </w:pPr>
          </w:p>
        </w:tc>
        <w:tc>
          <w:tcPr>
            <w:tcW w:w="1695" w:type="dxa"/>
            <w:tcBorders>
              <w:left w:val="single" w:color="auto" w:sz="4" w:space="0"/>
            </w:tcBorders>
            <w:noWrap w:val="0"/>
            <w:vAlign w:val="top"/>
          </w:tcPr>
          <w:p w14:paraId="6FF23667">
            <w:pPr>
              <w:spacing w:before="163" w:beforeLines="50" w:line="360" w:lineRule="auto"/>
              <w:jc w:val="center"/>
              <w:rPr>
                <w:rFonts w:hint="eastAsia" w:ascii="仿宋" w:hAnsi="仿宋" w:eastAsia="仿宋" w:cs="仿宋"/>
                <w:color w:val="auto"/>
                <w:szCs w:val="24"/>
                <w:highlight w:val="none"/>
              </w:rPr>
            </w:pPr>
          </w:p>
        </w:tc>
        <w:tc>
          <w:tcPr>
            <w:tcW w:w="825" w:type="dxa"/>
            <w:tcBorders>
              <w:right w:val="single" w:color="auto" w:sz="4" w:space="0"/>
            </w:tcBorders>
            <w:noWrap w:val="0"/>
            <w:vAlign w:val="top"/>
          </w:tcPr>
          <w:p w14:paraId="5D44E3D4">
            <w:pPr>
              <w:spacing w:before="163" w:beforeLines="50" w:line="360" w:lineRule="auto"/>
              <w:jc w:val="center"/>
              <w:rPr>
                <w:rFonts w:hint="eastAsia" w:ascii="仿宋" w:hAnsi="仿宋" w:eastAsia="仿宋" w:cs="仿宋"/>
                <w:color w:val="auto"/>
                <w:szCs w:val="24"/>
                <w:highlight w:val="none"/>
              </w:rPr>
            </w:pPr>
          </w:p>
        </w:tc>
        <w:tc>
          <w:tcPr>
            <w:tcW w:w="735" w:type="dxa"/>
            <w:tcBorders>
              <w:left w:val="single" w:color="auto" w:sz="4" w:space="0"/>
              <w:right w:val="single" w:color="auto" w:sz="4" w:space="0"/>
            </w:tcBorders>
            <w:noWrap w:val="0"/>
            <w:vAlign w:val="top"/>
          </w:tcPr>
          <w:p w14:paraId="53A2AABC">
            <w:pPr>
              <w:spacing w:before="163" w:beforeLines="50" w:line="360" w:lineRule="auto"/>
              <w:jc w:val="center"/>
              <w:rPr>
                <w:rFonts w:hint="eastAsia" w:ascii="仿宋" w:hAnsi="仿宋" w:eastAsia="仿宋" w:cs="仿宋"/>
                <w:color w:val="auto"/>
                <w:szCs w:val="24"/>
                <w:highlight w:val="none"/>
              </w:rPr>
            </w:pPr>
          </w:p>
        </w:tc>
        <w:tc>
          <w:tcPr>
            <w:tcW w:w="1050" w:type="dxa"/>
            <w:tcBorders>
              <w:left w:val="single" w:color="auto" w:sz="4" w:space="0"/>
            </w:tcBorders>
            <w:noWrap w:val="0"/>
            <w:vAlign w:val="top"/>
          </w:tcPr>
          <w:p w14:paraId="7C793A24">
            <w:pPr>
              <w:spacing w:before="163" w:beforeLines="50" w:line="360" w:lineRule="auto"/>
              <w:jc w:val="center"/>
              <w:rPr>
                <w:rFonts w:hint="eastAsia" w:ascii="仿宋" w:hAnsi="仿宋" w:eastAsia="仿宋" w:cs="仿宋"/>
                <w:color w:val="auto"/>
                <w:szCs w:val="24"/>
                <w:highlight w:val="none"/>
              </w:rPr>
            </w:pPr>
          </w:p>
        </w:tc>
        <w:tc>
          <w:tcPr>
            <w:tcW w:w="1215" w:type="dxa"/>
            <w:tcBorders>
              <w:right w:val="single" w:color="auto" w:sz="4" w:space="0"/>
            </w:tcBorders>
            <w:noWrap w:val="0"/>
            <w:vAlign w:val="top"/>
          </w:tcPr>
          <w:p w14:paraId="089C9F08">
            <w:pPr>
              <w:spacing w:before="163" w:beforeLines="50" w:line="360" w:lineRule="auto"/>
              <w:jc w:val="center"/>
              <w:rPr>
                <w:rFonts w:hint="eastAsia" w:ascii="仿宋" w:hAnsi="仿宋" w:eastAsia="仿宋" w:cs="仿宋"/>
                <w:color w:val="auto"/>
                <w:szCs w:val="24"/>
                <w:highlight w:val="none"/>
              </w:rPr>
            </w:pPr>
          </w:p>
        </w:tc>
        <w:tc>
          <w:tcPr>
            <w:tcW w:w="903" w:type="dxa"/>
            <w:tcBorders>
              <w:right w:val="single" w:color="auto" w:sz="4" w:space="0"/>
            </w:tcBorders>
            <w:noWrap w:val="0"/>
            <w:vAlign w:val="top"/>
          </w:tcPr>
          <w:p w14:paraId="4739161D">
            <w:pPr>
              <w:spacing w:before="163" w:beforeLines="50" w:line="360" w:lineRule="auto"/>
              <w:jc w:val="center"/>
              <w:rPr>
                <w:rFonts w:hint="eastAsia" w:ascii="仿宋" w:hAnsi="仿宋" w:eastAsia="仿宋" w:cs="仿宋"/>
                <w:color w:val="auto"/>
                <w:szCs w:val="24"/>
                <w:highlight w:val="none"/>
              </w:rPr>
            </w:pPr>
          </w:p>
        </w:tc>
      </w:tr>
      <w:tr w14:paraId="300AD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3ABEDB3">
            <w:pPr>
              <w:spacing w:before="163" w:beforeLines="50" w:line="360" w:lineRule="auto"/>
              <w:jc w:val="center"/>
              <w:rPr>
                <w:rFonts w:hint="eastAsia" w:ascii="仿宋" w:hAnsi="仿宋" w:eastAsia="仿宋" w:cs="仿宋"/>
                <w:color w:val="auto"/>
                <w:szCs w:val="24"/>
                <w:highlight w:val="none"/>
              </w:rPr>
            </w:pPr>
          </w:p>
        </w:tc>
        <w:tc>
          <w:tcPr>
            <w:tcW w:w="960" w:type="dxa"/>
            <w:noWrap w:val="0"/>
            <w:vAlign w:val="top"/>
          </w:tcPr>
          <w:p w14:paraId="175453DE">
            <w:pPr>
              <w:spacing w:before="163" w:beforeLines="50" w:line="360" w:lineRule="auto"/>
              <w:jc w:val="center"/>
              <w:rPr>
                <w:rFonts w:hint="eastAsia" w:ascii="仿宋" w:hAnsi="仿宋" w:eastAsia="仿宋" w:cs="仿宋"/>
                <w:color w:val="auto"/>
                <w:szCs w:val="24"/>
                <w:highlight w:val="none"/>
              </w:rPr>
            </w:pPr>
          </w:p>
        </w:tc>
        <w:tc>
          <w:tcPr>
            <w:tcW w:w="1485" w:type="dxa"/>
            <w:tcBorders>
              <w:right w:val="single" w:color="auto" w:sz="4" w:space="0"/>
            </w:tcBorders>
            <w:noWrap w:val="0"/>
            <w:vAlign w:val="top"/>
          </w:tcPr>
          <w:p w14:paraId="76B5BF38">
            <w:pPr>
              <w:spacing w:before="163" w:beforeLines="50" w:line="360" w:lineRule="auto"/>
              <w:jc w:val="center"/>
              <w:rPr>
                <w:rFonts w:hint="eastAsia" w:ascii="仿宋" w:hAnsi="仿宋" w:eastAsia="仿宋" w:cs="仿宋"/>
                <w:color w:val="auto"/>
                <w:szCs w:val="24"/>
                <w:highlight w:val="none"/>
              </w:rPr>
            </w:pPr>
          </w:p>
        </w:tc>
        <w:tc>
          <w:tcPr>
            <w:tcW w:w="1695" w:type="dxa"/>
            <w:tcBorders>
              <w:left w:val="single" w:color="auto" w:sz="4" w:space="0"/>
            </w:tcBorders>
            <w:noWrap w:val="0"/>
            <w:vAlign w:val="top"/>
          </w:tcPr>
          <w:p w14:paraId="3C643507">
            <w:pPr>
              <w:spacing w:before="163" w:beforeLines="50" w:line="360" w:lineRule="auto"/>
              <w:jc w:val="center"/>
              <w:rPr>
                <w:rFonts w:hint="eastAsia" w:ascii="仿宋" w:hAnsi="仿宋" w:eastAsia="仿宋" w:cs="仿宋"/>
                <w:color w:val="auto"/>
                <w:szCs w:val="24"/>
                <w:highlight w:val="none"/>
              </w:rPr>
            </w:pPr>
          </w:p>
        </w:tc>
        <w:tc>
          <w:tcPr>
            <w:tcW w:w="825" w:type="dxa"/>
            <w:tcBorders>
              <w:right w:val="single" w:color="auto" w:sz="4" w:space="0"/>
            </w:tcBorders>
            <w:noWrap w:val="0"/>
            <w:vAlign w:val="top"/>
          </w:tcPr>
          <w:p w14:paraId="21BF0FBE">
            <w:pPr>
              <w:spacing w:before="163" w:beforeLines="50" w:line="360" w:lineRule="auto"/>
              <w:jc w:val="center"/>
              <w:rPr>
                <w:rFonts w:hint="eastAsia" w:ascii="仿宋" w:hAnsi="仿宋" w:eastAsia="仿宋" w:cs="仿宋"/>
                <w:color w:val="auto"/>
                <w:szCs w:val="24"/>
                <w:highlight w:val="none"/>
              </w:rPr>
            </w:pPr>
          </w:p>
        </w:tc>
        <w:tc>
          <w:tcPr>
            <w:tcW w:w="735" w:type="dxa"/>
            <w:tcBorders>
              <w:left w:val="single" w:color="auto" w:sz="4" w:space="0"/>
              <w:right w:val="single" w:color="auto" w:sz="4" w:space="0"/>
            </w:tcBorders>
            <w:noWrap w:val="0"/>
            <w:vAlign w:val="top"/>
          </w:tcPr>
          <w:p w14:paraId="228913F4">
            <w:pPr>
              <w:spacing w:before="163" w:beforeLines="50" w:line="360" w:lineRule="auto"/>
              <w:jc w:val="center"/>
              <w:rPr>
                <w:rFonts w:hint="eastAsia" w:ascii="仿宋" w:hAnsi="仿宋" w:eastAsia="仿宋" w:cs="仿宋"/>
                <w:color w:val="auto"/>
                <w:szCs w:val="24"/>
                <w:highlight w:val="none"/>
              </w:rPr>
            </w:pPr>
          </w:p>
        </w:tc>
        <w:tc>
          <w:tcPr>
            <w:tcW w:w="1050" w:type="dxa"/>
            <w:tcBorders>
              <w:left w:val="single" w:color="auto" w:sz="4" w:space="0"/>
            </w:tcBorders>
            <w:noWrap w:val="0"/>
            <w:vAlign w:val="top"/>
          </w:tcPr>
          <w:p w14:paraId="0001BE3F">
            <w:pPr>
              <w:spacing w:before="163" w:beforeLines="50" w:line="360" w:lineRule="auto"/>
              <w:jc w:val="center"/>
              <w:rPr>
                <w:rFonts w:hint="eastAsia" w:ascii="仿宋" w:hAnsi="仿宋" w:eastAsia="仿宋" w:cs="仿宋"/>
                <w:color w:val="auto"/>
                <w:szCs w:val="24"/>
                <w:highlight w:val="none"/>
              </w:rPr>
            </w:pPr>
          </w:p>
        </w:tc>
        <w:tc>
          <w:tcPr>
            <w:tcW w:w="1215" w:type="dxa"/>
            <w:tcBorders>
              <w:right w:val="single" w:color="auto" w:sz="4" w:space="0"/>
            </w:tcBorders>
            <w:noWrap w:val="0"/>
            <w:vAlign w:val="top"/>
          </w:tcPr>
          <w:p w14:paraId="0A45E583">
            <w:pPr>
              <w:spacing w:before="163" w:beforeLines="50" w:line="360" w:lineRule="auto"/>
              <w:jc w:val="center"/>
              <w:rPr>
                <w:rFonts w:hint="eastAsia" w:ascii="仿宋" w:hAnsi="仿宋" w:eastAsia="仿宋" w:cs="仿宋"/>
                <w:color w:val="auto"/>
                <w:szCs w:val="24"/>
                <w:highlight w:val="none"/>
              </w:rPr>
            </w:pPr>
          </w:p>
        </w:tc>
        <w:tc>
          <w:tcPr>
            <w:tcW w:w="903" w:type="dxa"/>
            <w:tcBorders>
              <w:right w:val="single" w:color="auto" w:sz="4" w:space="0"/>
            </w:tcBorders>
            <w:noWrap w:val="0"/>
            <w:vAlign w:val="top"/>
          </w:tcPr>
          <w:p w14:paraId="2B4497E7">
            <w:pPr>
              <w:spacing w:before="163" w:beforeLines="50" w:line="360" w:lineRule="auto"/>
              <w:jc w:val="center"/>
              <w:rPr>
                <w:rFonts w:hint="eastAsia" w:ascii="仿宋" w:hAnsi="仿宋" w:eastAsia="仿宋" w:cs="仿宋"/>
                <w:color w:val="auto"/>
                <w:szCs w:val="24"/>
                <w:highlight w:val="none"/>
              </w:rPr>
            </w:pPr>
          </w:p>
        </w:tc>
      </w:tr>
    </w:tbl>
    <w:p w14:paraId="18FA7F59">
      <w:pPr>
        <w:pStyle w:val="5"/>
        <w:rPr>
          <w:rFonts w:hint="eastAsia" w:ascii="仿宋" w:hAnsi="仿宋" w:eastAsia="仿宋" w:cs="仿宋"/>
          <w:color w:val="auto"/>
          <w:highlight w:val="none"/>
        </w:rPr>
      </w:pPr>
    </w:p>
    <w:p w14:paraId="1D7ECFEA">
      <w:pPr>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八、包装要求</w:t>
      </w:r>
    </w:p>
    <w:p w14:paraId="3B598F11">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1、除合同另有规定外，供应商提供的全部货物，均应按标准保护措施进行包装，并确保货物安全无损运至</w:t>
      </w:r>
      <w:r>
        <w:rPr>
          <w:rFonts w:hint="eastAsia" w:ascii="仿宋" w:hAnsi="仿宋" w:eastAsia="仿宋" w:cs="仿宋"/>
          <w:color w:val="auto"/>
          <w:sz w:val="24"/>
          <w:highlight w:val="none"/>
          <w:lang w:val="en-US" w:eastAsia="zh-CN"/>
        </w:rPr>
        <w:t>甲方</w:t>
      </w:r>
      <w:r>
        <w:rPr>
          <w:rFonts w:hint="eastAsia" w:ascii="仿宋" w:hAnsi="仿宋" w:eastAsia="仿宋" w:cs="仿宋"/>
          <w:color w:val="auto"/>
          <w:sz w:val="24"/>
          <w:highlight w:val="none"/>
        </w:rPr>
        <w:t>指定地点。由于包装不良造成的损失和由此产生的费用均由</w:t>
      </w:r>
      <w:r>
        <w:rPr>
          <w:rFonts w:hint="eastAsia" w:ascii="仿宋" w:hAnsi="仿宋" w:eastAsia="仿宋" w:cs="仿宋"/>
          <w:color w:val="auto"/>
          <w:sz w:val="24"/>
          <w:highlight w:val="none"/>
          <w:lang w:val="en-US" w:eastAsia="zh-CN"/>
        </w:rPr>
        <w:t>乙方</w:t>
      </w:r>
      <w:r>
        <w:rPr>
          <w:rFonts w:hint="eastAsia" w:ascii="仿宋" w:hAnsi="仿宋" w:eastAsia="仿宋" w:cs="仿宋"/>
          <w:color w:val="auto"/>
          <w:sz w:val="24"/>
          <w:highlight w:val="none"/>
        </w:rPr>
        <w:t>承担。</w:t>
      </w:r>
    </w:p>
    <w:p w14:paraId="2A7B3295">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sz w:val="24"/>
          <w:highlight w:val="none"/>
        </w:rPr>
        <w:t>2、每一个包装箱内应附一份详细装箱单和质量合格证。</w:t>
      </w:r>
    </w:p>
    <w:p w14:paraId="775C294A">
      <w:pPr>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color w:val="auto"/>
          <w:kern w:val="0"/>
          <w:sz w:val="24"/>
          <w:szCs w:val="24"/>
          <w:highlight w:val="none"/>
        </w:rPr>
      </w:pPr>
      <w:r>
        <w:rPr>
          <w:rFonts w:hint="eastAsia" w:ascii="仿宋" w:hAnsi="仿宋" w:eastAsia="仿宋" w:cs="仿宋"/>
          <w:b/>
          <w:color w:val="auto"/>
          <w:sz w:val="24"/>
          <w:szCs w:val="24"/>
          <w:highlight w:val="none"/>
        </w:rPr>
        <w:t>九、</w:t>
      </w:r>
      <w:r>
        <w:rPr>
          <w:rFonts w:hint="eastAsia" w:ascii="仿宋" w:hAnsi="仿宋" w:eastAsia="仿宋" w:cs="仿宋"/>
          <w:b/>
          <w:color w:val="auto"/>
          <w:kern w:val="0"/>
          <w:sz w:val="24"/>
          <w:szCs w:val="24"/>
          <w:highlight w:val="none"/>
        </w:rPr>
        <w:t>运输、安装、调试要求：</w:t>
      </w:r>
    </w:p>
    <w:p w14:paraId="188A94E5">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lang w:val="en-US" w:eastAsia="zh-CN"/>
        </w:rPr>
        <w:t>乙方</w:t>
      </w:r>
      <w:r>
        <w:rPr>
          <w:rFonts w:hint="eastAsia" w:ascii="仿宋" w:hAnsi="仿宋" w:eastAsia="仿宋" w:cs="仿宋"/>
          <w:color w:val="auto"/>
          <w:sz w:val="24"/>
          <w:szCs w:val="22"/>
          <w:highlight w:val="none"/>
        </w:rPr>
        <w:t>根据产品特性，自行选择运输及包装方式，承担一切运输费用，包括从生产厂到</w:t>
      </w:r>
      <w:r>
        <w:rPr>
          <w:rFonts w:hint="eastAsia" w:ascii="仿宋" w:hAnsi="仿宋" w:eastAsia="仿宋" w:cs="仿宋"/>
          <w:color w:val="auto"/>
          <w:sz w:val="24"/>
          <w:szCs w:val="22"/>
          <w:highlight w:val="none"/>
          <w:lang w:val="en-US" w:eastAsia="zh-CN"/>
        </w:rPr>
        <w:t>甲方</w:t>
      </w:r>
      <w:r>
        <w:rPr>
          <w:rFonts w:hint="eastAsia" w:ascii="仿宋" w:hAnsi="仿宋" w:eastAsia="仿宋" w:cs="仿宋"/>
          <w:color w:val="auto"/>
          <w:sz w:val="24"/>
          <w:szCs w:val="22"/>
          <w:highlight w:val="none"/>
        </w:rPr>
        <w:t>指定交货地点所需的装卸、运输（含保险费）及其他一切费用。</w:t>
      </w:r>
    </w:p>
    <w:p w14:paraId="6E684D61">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w:t>
      </w: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rPr>
        <w:t>由</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负责派技术人员到现场进行安装、调试至验收合格。</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应在合同签订后一周内，向</w:t>
      </w:r>
      <w:r>
        <w:rPr>
          <w:rFonts w:hint="eastAsia" w:ascii="仿宋" w:hAnsi="仿宋" w:eastAsia="仿宋" w:cs="仿宋"/>
          <w:color w:val="auto"/>
          <w:sz w:val="24"/>
          <w:szCs w:val="22"/>
          <w:highlight w:val="none"/>
          <w:lang w:eastAsia="zh-CN"/>
        </w:rPr>
        <w:t>甲方</w:t>
      </w:r>
      <w:r>
        <w:rPr>
          <w:rFonts w:hint="eastAsia" w:ascii="仿宋" w:hAnsi="仿宋" w:eastAsia="仿宋" w:cs="仿宋"/>
          <w:color w:val="auto"/>
          <w:sz w:val="24"/>
          <w:szCs w:val="22"/>
          <w:highlight w:val="none"/>
        </w:rPr>
        <w:t>提供安装、调试及试运行的进度计划表。</w:t>
      </w:r>
    </w:p>
    <w:p w14:paraId="7EF17297">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应在合同规定的安装调试期内完成该项工作,如因</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责任而造成延期，每超过一天按合同总价款的（1‰）支付</w:t>
      </w:r>
      <w:r>
        <w:rPr>
          <w:rFonts w:hint="eastAsia" w:ascii="仿宋" w:hAnsi="仿宋" w:eastAsia="仿宋" w:cs="仿宋"/>
          <w:color w:val="auto"/>
          <w:sz w:val="24"/>
          <w:szCs w:val="22"/>
          <w:highlight w:val="none"/>
          <w:lang w:eastAsia="zh-CN"/>
        </w:rPr>
        <w:t>甲方</w:t>
      </w:r>
      <w:r>
        <w:rPr>
          <w:rFonts w:hint="eastAsia" w:ascii="仿宋" w:hAnsi="仿宋" w:eastAsia="仿宋" w:cs="仿宋"/>
          <w:color w:val="auto"/>
          <w:sz w:val="24"/>
          <w:szCs w:val="22"/>
          <w:highlight w:val="none"/>
        </w:rPr>
        <w:t>误期赔偿金，直至交货或提供服务结束为止，所有因延期而产生的费用由</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承担。</w:t>
      </w:r>
    </w:p>
    <w:p w14:paraId="01A0BFB3">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w:t>
      </w: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rPr>
        <w:t>安装和调试期间所发生的费用均由</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负责。</w:t>
      </w:r>
    </w:p>
    <w:p w14:paraId="604A5E1F">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应对安装调试、整改等实施过程的安全负责，如发生人身伤亡、财产损失的由</w:t>
      </w:r>
      <w:r>
        <w:rPr>
          <w:rFonts w:hint="eastAsia" w:ascii="仿宋" w:hAnsi="仿宋" w:eastAsia="仿宋" w:cs="仿宋"/>
          <w:color w:val="auto"/>
          <w:sz w:val="24"/>
          <w:szCs w:val="22"/>
          <w:highlight w:val="none"/>
          <w:lang w:eastAsia="zh-CN"/>
        </w:rPr>
        <w:t>乙方</w:t>
      </w:r>
      <w:r>
        <w:rPr>
          <w:rFonts w:hint="eastAsia" w:ascii="仿宋" w:hAnsi="仿宋" w:eastAsia="仿宋" w:cs="仿宋"/>
          <w:color w:val="auto"/>
          <w:sz w:val="24"/>
          <w:szCs w:val="22"/>
          <w:highlight w:val="none"/>
        </w:rPr>
        <w:t>负责解决并承担全部责任。</w:t>
      </w:r>
    </w:p>
    <w:p w14:paraId="2B472489">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eastAsia="zh-CN"/>
        </w:rPr>
        <w:t>十</w:t>
      </w:r>
      <w:r>
        <w:rPr>
          <w:rFonts w:hint="eastAsia" w:ascii="仿宋" w:hAnsi="仿宋" w:eastAsia="仿宋" w:cs="仿宋"/>
          <w:b/>
          <w:bCs w:val="0"/>
          <w:color w:val="auto"/>
          <w:sz w:val="24"/>
          <w:szCs w:val="24"/>
          <w:highlight w:val="none"/>
        </w:rPr>
        <w:t>、双方的权利和义务</w:t>
      </w:r>
    </w:p>
    <w:p w14:paraId="432C01F2">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（一）甲方的权利和义务</w:t>
      </w:r>
    </w:p>
    <w:p w14:paraId="4F59E86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产品性能必须与其标示的技术指标相符合，甲方有权在产品的有效保证期内依据技术指标对该产品进行技术验收，其主要的技术参数达不到标准时，甲方有权无条件退货或依据有关法律索赔。</w:t>
      </w:r>
    </w:p>
    <w:p w14:paraId="45BE618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rPr>
        <w:t>质保期内，设备出现故障在甲方及时通知乙方后，不能及时排除故障,甲方有权向乙方提出退货,乙方除退还全部货款外,还要支付货款总额的20%作为向甲方的赔偿。</w:t>
      </w:r>
    </w:p>
    <w:p w14:paraId="550ED75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质保期满,继续享用甲方提供的优惠条件。</w:t>
      </w:r>
    </w:p>
    <w:p w14:paraId="52E289A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4</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质保期满设备维修只收取材料费,工时费免。</w:t>
      </w:r>
    </w:p>
    <w:p w14:paraId="7A9611A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5</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质保期满消耗品只收取成本费,其他费用免。</w:t>
      </w:r>
    </w:p>
    <w:p w14:paraId="73F6BA5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6</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甲方保证按合同规定及时付款。</w:t>
      </w:r>
    </w:p>
    <w:p w14:paraId="73ADC17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7、</w:t>
      </w:r>
      <w:r>
        <w:rPr>
          <w:rFonts w:hint="eastAsia" w:ascii="仿宋" w:hAnsi="仿宋" w:eastAsia="仿宋" w:cs="仿宋"/>
          <w:b w:val="0"/>
          <w:bCs/>
          <w:color w:val="auto"/>
          <w:sz w:val="24"/>
          <w:szCs w:val="24"/>
          <w:highlight w:val="none"/>
        </w:rPr>
        <w:t>若因政策调整变动，导致项目二期无法实施，甲方不承担任何责任</w:t>
      </w:r>
      <w:r>
        <w:rPr>
          <w:rFonts w:hint="eastAsia" w:ascii="仿宋" w:hAnsi="仿宋" w:eastAsia="仿宋" w:cs="仿宋"/>
          <w:b w:val="0"/>
          <w:bCs/>
          <w:color w:val="auto"/>
          <w:sz w:val="24"/>
          <w:szCs w:val="24"/>
          <w:highlight w:val="none"/>
          <w:lang w:eastAsia="zh-CN"/>
        </w:rPr>
        <w:t>。</w:t>
      </w:r>
    </w:p>
    <w:p w14:paraId="745C31AF">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（二）乙方的权利和义务</w:t>
      </w:r>
    </w:p>
    <w:p w14:paraId="56A24B3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1、乙方提供给甲方的产品必须是设计科学、技术成熟、工艺精良，原厂生产的未曾使用过的、全新的合格产品。</w:t>
      </w:r>
    </w:p>
    <w:p w14:paraId="595B383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2、设计技术专利、外型专利、应用软件专利等均应符合我国的有关法律及行业标准，凡因以上问题与第三方发生的任何纠纷均与甲方无关。</w:t>
      </w:r>
    </w:p>
    <w:p w14:paraId="2F341CF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3、安全可靠。在正常使用下不应对操作者造成任何人身伤害，如因产品质量或标示不明确而对操作者造成损失的，甲方将保留依法索赔的权利。</w:t>
      </w:r>
    </w:p>
    <w:p w14:paraId="1F5A532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4、有强制性安全标准的产品，乙方应提供该产品的制造许可证证明。</w:t>
      </w:r>
    </w:p>
    <w:p w14:paraId="234137A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5. 乙方有义务对本合同项目甲方需要的关键设备提供有关咨询。</w:t>
      </w:r>
    </w:p>
    <w:p w14:paraId="563A4B29">
      <w:pPr>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十一、技术培训：</w:t>
      </w:r>
    </w:p>
    <w:p w14:paraId="18F0D26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应包括产品使用操作、保养、维修等培训内容。</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需按</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要求的时间为</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培训技术人员若干名，培训服务以受培训人员熟练掌握相应技能为原则。在产品投入使用初期进行必要的跟踪指导，保障产品的稳定运行。供应的产品需在培训基地培训的，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应按要求履行，培训产生的交通费、食宿费、培训费等均由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w:t>
      </w:r>
    </w:p>
    <w:p w14:paraId="32CA8CE6">
      <w:pPr>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color w:val="auto"/>
          <w:kern w:val="0"/>
          <w:sz w:val="24"/>
          <w:szCs w:val="24"/>
          <w:highlight w:val="none"/>
        </w:rPr>
      </w:pPr>
      <w:r>
        <w:rPr>
          <w:rFonts w:hint="eastAsia" w:ascii="仿宋" w:hAnsi="仿宋" w:eastAsia="仿宋" w:cs="仿宋"/>
          <w:b/>
          <w:color w:val="auto"/>
          <w:sz w:val="24"/>
          <w:szCs w:val="24"/>
          <w:highlight w:val="none"/>
        </w:rPr>
        <w:t>十二、</w:t>
      </w:r>
      <w:r>
        <w:rPr>
          <w:rFonts w:hint="eastAsia" w:ascii="仿宋" w:hAnsi="仿宋" w:eastAsia="仿宋" w:cs="仿宋"/>
          <w:b/>
          <w:color w:val="auto"/>
          <w:kern w:val="0"/>
          <w:sz w:val="24"/>
          <w:szCs w:val="24"/>
          <w:highlight w:val="none"/>
        </w:rPr>
        <w:t>技术资料要求：</w:t>
      </w:r>
    </w:p>
    <w:p w14:paraId="46D9B08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提供全套中文技术资料一套，其费用包括在合同总价款中：</w:t>
      </w:r>
    </w:p>
    <w:p w14:paraId="11EE594A">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完整的产品操作使用手册、说明书和维护、修理技术文件、图纸、保修卡等</w:t>
      </w:r>
      <w:r>
        <w:rPr>
          <w:rFonts w:hint="eastAsia" w:ascii="仿宋" w:hAnsi="仿宋" w:eastAsia="仿宋" w:cs="仿宋"/>
          <w:color w:val="auto"/>
          <w:sz w:val="24"/>
          <w:szCs w:val="24"/>
          <w:highlight w:val="none"/>
          <w:lang w:eastAsia="zh-CN"/>
        </w:rPr>
        <w:t>；</w:t>
      </w:r>
    </w:p>
    <w:p w14:paraId="066D79B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制造厂的检验、测试报告、产品检验合格证书，质量保证书等文件验收时需提供</w:t>
      </w:r>
      <w:r>
        <w:rPr>
          <w:rFonts w:hint="eastAsia" w:ascii="仿宋" w:hAnsi="仿宋" w:eastAsia="仿宋" w:cs="仿宋"/>
          <w:color w:val="auto"/>
          <w:sz w:val="24"/>
          <w:szCs w:val="24"/>
          <w:highlight w:val="none"/>
          <w:lang w:eastAsia="zh-CN"/>
        </w:rPr>
        <w:t>；</w:t>
      </w:r>
    </w:p>
    <w:p w14:paraId="2935174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必须的其它技术资料</w:t>
      </w:r>
      <w:r>
        <w:rPr>
          <w:rFonts w:hint="eastAsia" w:ascii="仿宋" w:hAnsi="仿宋" w:eastAsia="仿宋" w:cs="仿宋"/>
          <w:color w:val="auto"/>
          <w:sz w:val="24"/>
          <w:szCs w:val="24"/>
          <w:highlight w:val="none"/>
          <w:lang w:eastAsia="zh-CN"/>
        </w:rPr>
        <w:t>；</w:t>
      </w:r>
    </w:p>
    <w:p w14:paraId="4CE7B5A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产品验收标准；</w:t>
      </w:r>
    </w:p>
    <w:p w14:paraId="67FC5FEA">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rPr>
        <w:t>技术说明书；</w:t>
      </w:r>
    </w:p>
    <w:p w14:paraId="3504822A">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rPr>
        <w:t>零部件目录；</w:t>
      </w:r>
    </w:p>
    <w:p w14:paraId="4AC67C7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rPr>
        <w:t>备品备件、易损件清单；</w:t>
      </w:r>
    </w:p>
    <w:p w14:paraId="093F985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rPr>
        <w:t>项目完工后提供验收报告；</w:t>
      </w:r>
    </w:p>
    <w:p w14:paraId="4D4A9A4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rPr>
        <w:t>合同中要求的其他文件资料。</w:t>
      </w:r>
    </w:p>
    <w:p w14:paraId="2642F833">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十三、质保及维保服务（提供售后服务承诺书）</w:t>
      </w:r>
      <w:r>
        <w:rPr>
          <w:rFonts w:hint="eastAsia" w:ascii="仿宋" w:hAnsi="仿宋" w:eastAsia="仿宋" w:cs="仿宋"/>
          <w:b/>
          <w:color w:val="auto"/>
          <w:sz w:val="24"/>
          <w:szCs w:val="24"/>
          <w:highlight w:val="none"/>
          <w:lang w:eastAsia="zh-CN"/>
        </w:rPr>
        <w:t>：</w:t>
      </w:r>
    </w:p>
    <w:p w14:paraId="7DB8A20F">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highlight w:val="none"/>
          <w:lang w:val="en-US" w:eastAsia="zh-CN"/>
        </w:rPr>
        <w:t>1、</w:t>
      </w:r>
      <w:r>
        <w:rPr>
          <w:rFonts w:hint="eastAsia" w:ascii="仿宋" w:hAnsi="仿宋" w:eastAsia="仿宋" w:cs="仿宋"/>
          <w:color w:val="auto"/>
          <w:kern w:val="0"/>
          <w:sz w:val="24"/>
          <w:highlight w:val="none"/>
        </w:rPr>
        <w:t>本项目的质保期为整体验收合格后</w:t>
      </w:r>
      <w:r>
        <w:rPr>
          <w:rFonts w:hint="eastAsia" w:ascii="仿宋" w:hAnsi="仿宋" w:eastAsia="仿宋" w:cs="仿宋"/>
          <w:color w:val="auto"/>
          <w:kern w:val="0"/>
          <w:sz w:val="24"/>
          <w:highlight w:val="none"/>
          <w:u w:val="single"/>
          <w:lang w:val="en-US" w:eastAsia="zh-CN"/>
        </w:rPr>
        <w:t xml:space="preserve"> 3 </w:t>
      </w:r>
      <w:r>
        <w:rPr>
          <w:rFonts w:hint="eastAsia" w:ascii="仿宋" w:hAnsi="仿宋" w:eastAsia="仿宋" w:cs="仿宋"/>
          <w:color w:val="auto"/>
          <w:kern w:val="0"/>
          <w:sz w:val="24"/>
          <w:highlight w:val="none"/>
        </w:rPr>
        <w:t>年。</w:t>
      </w:r>
      <w:r>
        <w:rPr>
          <w:rFonts w:hint="eastAsia" w:ascii="仿宋" w:hAnsi="仿宋" w:eastAsia="仿宋" w:cs="仿宋"/>
          <w:color w:val="auto"/>
          <w:sz w:val="24"/>
          <w:szCs w:val="24"/>
          <w:highlight w:val="none"/>
        </w:rPr>
        <w:t>（单个产品若</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提供的质保期超过</w:t>
      </w: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rPr>
        <w:t>年的，执行厂家规定，若国家有明确规定且高于此质保期的，执行国家规定）。</w:t>
      </w:r>
    </w:p>
    <w:p w14:paraId="0E9ED85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kern w:val="0"/>
          <w:sz w:val="24"/>
          <w:highlight w:val="none"/>
        </w:rPr>
        <w:t>提供的</w:t>
      </w:r>
      <w:r>
        <w:rPr>
          <w:rFonts w:hint="eastAsia" w:ascii="仿宋" w:hAnsi="仿宋" w:eastAsia="仿宋" w:cs="仿宋"/>
          <w:color w:val="auto"/>
          <w:sz w:val="24"/>
          <w:szCs w:val="24"/>
          <w:highlight w:val="none"/>
        </w:rPr>
        <w:t>产品</w:t>
      </w:r>
      <w:r>
        <w:rPr>
          <w:rFonts w:hint="eastAsia" w:ascii="仿宋" w:hAnsi="仿宋" w:eastAsia="仿宋" w:cs="仿宋"/>
          <w:color w:val="auto"/>
          <w:kern w:val="0"/>
          <w:sz w:val="24"/>
          <w:highlight w:val="none"/>
        </w:rPr>
        <w:t>及材料必须保证质量可靠，为市场最新或主流</w:t>
      </w:r>
      <w:r>
        <w:rPr>
          <w:rFonts w:hint="eastAsia" w:ascii="仿宋" w:hAnsi="仿宋" w:eastAsia="仿宋" w:cs="仿宋"/>
          <w:color w:val="auto"/>
          <w:sz w:val="24"/>
          <w:szCs w:val="24"/>
          <w:highlight w:val="none"/>
        </w:rPr>
        <w:t>产品</w:t>
      </w:r>
      <w:r>
        <w:rPr>
          <w:rFonts w:hint="eastAsia" w:ascii="仿宋" w:hAnsi="仿宋" w:eastAsia="仿宋" w:cs="仿宋"/>
          <w:color w:val="auto"/>
          <w:kern w:val="0"/>
          <w:sz w:val="24"/>
          <w:highlight w:val="none"/>
        </w:rPr>
        <w:t>，进货渠道正常，配置合理齐全，应全面满足</w:t>
      </w:r>
      <w:r>
        <w:rPr>
          <w:rFonts w:hint="eastAsia" w:ascii="仿宋" w:hAnsi="仿宋" w:eastAsia="仿宋" w:cs="仿宋"/>
          <w:color w:val="auto"/>
          <w:kern w:val="0"/>
          <w:sz w:val="24"/>
          <w:highlight w:val="none"/>
          <w:lang w:eastAsia="zh-CN"/>
        </w:rPr>
        <w:t>竞争性谈判文件</w:t>
      </w:r>
      <w:r>
        <w:rPr>
          <w:rFonts w:hint="eastAsia" w:ascii="仿宋" w:hAnsi="仿宋" w:eastAsia="仿宋" w:cs="仿宋"/>
          <w:color w:val="auto"/>
          <w:kern w:val="0"/>
          <w:sz w:val="24"/>
          <w:highlight w:val="none"/>
        </w:rPr>
        <w:t>的要求，</w:t>
      </w:r>
      <w:r>
        <w:rPr>
          <w:rFonts w:hint="eastAsia" w:ascii="仿宋" w:hAnsi="仿宋" w:eastAsia="仿宋" w:cs="仿宋"/>
          <w:color w:val="auto"/>
          <w:kern w:val="0"/>
          <w:sz w:val="24"/>
          <w:highlight w:val="none"/>
          <w:lang w:eastAsia="zh-CN"/>
        </w:rPr>
        <w:t>竞争性谈判文件</w:t>
      </w:r>
      <w:r>
        <w:rPr>
          <w:rFonts w:hint="eastAsia" w:ascii="仿宋" w:hAnsi="仿宋" w:eastAsia="仿宋" w:cs="仿宋"/>
          <w:color w:val="auto"/>
          <w:kern w:val="0"/>
          <w:sz w:val="24"/>
          <w:highlight w:val="none"/>
        </w:rPr>
        <w:t>未明确要求的内容，</w:t>
      </w:r>
      <w:r>
        <w:rPr>
          <w:rFonts w:hint="eastAsia" w:ascii="仿宋" w:hAnsi="仿宋" w:eastAsia="仿宋" w:cs="仿宋"/>
          <w:color w:val="auto"/>
          <w:kern w:val="0"/>
          <w:sz w:val="24"/>
          <w:highlight w:val="none"/>
          <w:lang w:eastAsia="zh-CN"/>
        </w:rPr>
        <w:t>甲方</w:t>
      </w:r>
      <w:r>
        <w:rPr>
          <w:rFonts w:hint="eastAsia" w:ascii="仿宋" w:hAnsi="仿宋" w:eastAsia="仿宋" w:cs="仿宋"/>
          <w:color w:val="auto"/>
          <w:kern w:val="0"/>
          <w:sz w:val="24"/>
          <w:highlight w:val="none"/>
        </w:rPr>
        <w:t>须按</w:t>
      </w:r>
      <w:r>
        <w:rPr>
          <w:rFonts w:hint="eastAsia" w:ascii="仿宋" w:hAnsi="仿宋" w:eastAsia="仿宋" w:cs="仿宋"/>
          <w:color w:val="auto"/>
          <w:kern w:val="0"/>
          <w:sz w:val="24"/>
          <w:highlight w:val="none"/>
          <w:lang w:val="en-US" w:eastAsia="zh-CN"/>
        </w:rPr>
        <w:t>所供</w:t>
      </w:r>
      <w:r>
        <w:rPr>
          <w:rFonts w:hint="eastAsia" w:ascii="仿宋" w:hAnsi="仿宋" w:eastAsia="仿宋" w:cs="仿宋"/>
          <w:color w:val="auto"/>
          <w:sz w:val="24"/>
          <w:szCs w:val="24"/>
          <w:highlight w:val="none"/>
        </w:rPr>
        <w:t>产品</w:t>
      </w:r>
      <w:r>
        <w:rPr>
          <w:rFonts w:hint="eastAsia" w:ascii="仿宋" w:hAnsi="仿宋" w:eastAsia="仿宋" w:cs="仿宋"/>
          <w:color w:val="auto"/>
          <w:kern w:val="0"/>
          <w:sz w:val="24"/>
          <w:highlight w:val="none"/>
        </w:rPr>
        <w:t>主流标准配置或以</w:t>
      </w:r>
      <w:r>
        <w:rPr>
          <w:rFonts w:hint="eastAsia" w:ascii="仿宋" w:hAnsi="仿宋" w:eastAsia="仿宋" w:cs="仿宋"/>
          <w:color w:val="auto"/>
          <w:kern w:val="0"/>
          <w:sz w:val="24"/>
          <w:highlight w:val="none"/>
          <w:lang w:eastAsia="zh-CN"/>
        </w:rPr>
        <w:t>甲方</w:t>
      </w:r>
      <w:r>
        <w:rPr>
          <w:rFonts w:hint="eastAsia" w:ascii="仿宋" w:hAnsi="仿宋" w:eastAsia="仿宋" w:cs="仿宋"/>
          <w:color w:val="auto"/>
          <w:kern w:val="0"/>
          <w:sz w:val="24"/>
          <w:highlight w:val="none"/>
        </w:rPr>
        <w:t>的补充要求为准。所供产品工艺质量应严格按国家最新发布的规范标准执行，如发生质量问题由</w:t>
      </w:r>
      <w:r>
        <w:rPr>
          <w:rFonts w:hint="eastAsia" w:ascii="仿宋" w:hAnsi="仿宋" w:eastAsia="仿宋" w:cs="仿宋"/>
          <w:color w:val="auto"/>
          <w:kern w:val="0"/>
          <w:sz w:val="24"/>
          <w:highlight w:val="none"/>
          <w:lang w:eastAsia="zh-CN"/>
        </w:rPr>
        <w:t>乙方</w:t>
      </w:r>
      <w:r>
        <w:rPr>
          <w:rFonts w:hint="eastAsia" w:ascii="仿宋" w:hAnsi="仿宋" w:eastAsia="仿宋" w:cs="仿宋"/>
          <w:color w:val="auto"/>
          <w:kern w:val="0"/>
          <w:sz w:val="24"/>
          <w:highlight w:val="none"/>
        </w:rPr>
        <w:t>承担全部责任。</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使用产品过程中因产品质量、产品缺陷及安装质量等造成人身伤亡、财产损失的，由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负责解决并承担全部责任。</w:t>
      </w:r>
    </w:p>
    <w:p w14:paraId="6A38873F">
      <w:pPr>
        <w:keepNext w:val="0"/>
        <w:keepLines w:val="0"/>
        <w:pageBreakBefore w:val="0"/>
        <w:widowControl w:val="0"/>
        <w:tabs>
          <w:tab w:val="left" w:pos="108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应提供可承担维修职能的公司或全资分公司或办事处，并驻守多名维护技术人员，并提供地点、联系人（常驻工程师）及联系电话（服务热线），随时解答各种疑问（需提供相关证明材料）。</w:t>
      </w:r>
    </w:p>
    <w:p w14:paraId="2A9D071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服务方式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现场服务，</w:t>
      </w:r>
      <w:r>
        <w:rPr>
          <w:rFonts w:hint="eastAsia" w:ascii="仿宋" w:hAnsi="仿宋" w:eastAsia="仿宋" w:cs="仿宋"/>
          <w:color w:val="auto"/>
          <w:sz w:val="24"/>
          <w:highlight w:val="none"/>
        </w:rPr>
        <w:t>产品按照国家三包规定执行</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rPr>
        <w:t>提供终身技术支持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在质保期内，如果发生故障，</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要调查故障原因，由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提供的产品出现的问题，</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须修复直至满足最终验收指标和性能。在质保期间，</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14:paraId="7CB8914B">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每年至少二次上门维护，回访。</w:t>
      </w:r>
    </w:p>
    <w:p w14:paraId="06DECFF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对于存在质量问题或者</w:t>
      </w:r>
      <w:r>
        <w:rPr>
          <w:rFonts w:hint="eastAsia" w:ascii="仿宋" w:hAnsi="仿宋" w:eastAsia="仿宋" w:cs="仿宋"/>
          <w:color w:val="auto"/>
          <w:sz w:val="24"/>
          <w:szCs w:val="24"/>
          <w:highlight w:val="none"/>
          <w:lang w:val="en-US" w:eastAsia="zh-CN"/>
        </w:rPr>
        <w:t>短缺</w:t>
      </w:r>
      <w:r>
        <w:rPr>
          <w:rFonts w:hint="eastAsia" w:ascii="仿宋" w:hAnsi="仿宋" w:eastAsia="仿宋" w:cs="仿宋"/>
          <w:color w:val="auto"/>
          <w:sz w:val="24"/>
          <w:szCs w:val="24"/>
          <w:highlight w:val="none"/>
        </w:rPr>
        <w:t>的产品，</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应在接到</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的通知2个日历日内负责修复，调换、重新制作或补齐。</w:t>
      </w:r>
    </w:p>
    <w:p w14:paraId="3EB75526">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在最终验收后的质量保证期内，</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应对设计、工艺或材料等的缺陷而产生的故障负责（负责解决并承担全部费用）。质保期满后如出现此类问题亦应负责。</w:t>
      </w:r>
    </w:p>
    <w:p w14:paraId="13587D2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仿宋" w:hAnsi="仿宋" w:eastAsia="仿宋" w:cs="仿宋"/>
          <w:color w:val="auto"/>
          <w:sz w:val="24"/>
          <w:szCs w:val="24"/>
          <w:highlight w:val="none"/>
          <w:lang w:eastAsia="zh-CN"/>
        </w:rPr>
        <w:t>竞争性谈判文件</w:t>
      </w:r>
      <w:r>
        <w:rPr>
          <w:rFonts w:hint="eastAsia" w:ascii="仿宋" w:hAnsi="仿宋" w:eastAsia="仿宋" w:cs="仿宋"/>
          <w:color w:val="auto"/>
          <w:sz w:val="24"/>
          <w:szCs w:val="24"/>
          <w:highlight w:val="none"/>
        </w:rPr>
        <w:t>要求对待。</w:t>
      </w:r>
    </w:p>
    <w:p w14:paraId="0B1FC6D3">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en-US" w:eastAsia="zh-CN"/>
        </w:rPr>
        <w:t>9、</w:t>
      </w:r>
      <w:r>
        <w:rPr>
          <w:rFonts w:hint="eastAsia" w:ascii="仿宋" w:hAnsi="仿宋" w:eastAsia="仿宋" w:cs="仿宋"/>
          <w:color w:val="auto"/>
          <w:kern w:val="0"/>
          <w:sz w:val="24"/>
          <w:highlight w:val="none"/>
        </w:rPr>
        <w:t>对于未按约定提供质保服务的</w:t>
      </w:r>
      <w:r>
        <w:rPr>
          <w:rFonts w:hint="eastAsia" w:ascii="仿宋" w:hAnsi="仿宋" w:eastAsia="仿宋" w:cs="仿宋"/>
          <w:color w:val="auto"/>
          <w:kern w:val="0"/>
          <w:sz w:val="24"/>
          <w:highlight w:val="none"/>
          <w:lang w:eastAsia="zh-CN"/>
        </w:rPr>
        <w:t>乙方</w:t>
      </w:r>
      <w:r>
        <w:rPr>
          <w:rFonts w:hint="eastAsia" w:ascii="仿宋" w:hAnsi="仿宋" w:eastAsia="仿宋" w:cs="仿宋"/>
          <w:color w:val="auto"/>
          <w:kern w:val="0"/>
          <w:sz w:val="24"/>
          <w:highlight w:val="none"/>
        </w:rPr>
        <w:t>或违约的</w:t>
      </w:r>
      <w:r>
        <w:rPr>
          <w:rFonts w:hint="eastAsia" w:ascii="仿宋" w:hAnsi="仿宋" w:eastAsia="仿宋" w:cs="仿宋"/>
          <w:color w:val="auto"/>
          <w:kern w:val="0"/>
          <w:sz w:val="24"/>
          <w:highlight w:val="none"/>
          <w:lang w:eastAsia="zh-CN"/>
        </w:rPr>
        <w:t>乙方</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甲方</w:t>
      </w:r>
      <w:r>
        <w:rPr>
          <w:rFonts w:hint="eastAsia" w:ascii="仿宋" w:hAnsi="仿宋" w:eastAsia="仿宋" w:cs="仿宋"/>
          <w:color w:val="auto"/>
          <w:kern w:val="0"/>
          <w:sz w:val="24"/>
          <w:highlight w:val="none"/>
        </w:rPr>
        <w:t>将拒绝其参加</w:t>
      </w:r>
      <w:r>
        <w:rPr>
          <w:rFonts w:hint="eastAsia" w:ascii="仿宋" w:hAnsi="仿宋" w:eastAsia="仿宋" w:cs="仿宋"/>
          <w:color w:val="auto"/>
          <w:kern w:val="0"/>
          <w:sz w:val="24"/>
          <w:highlight w:val="none"/>
          <w:lang w:eastAsia="zh-CN"/>
        </w:rPr>
        <w:t>甲方</w:t>
      </w:r>
      <w:r>
        <w:rPr>
          <w:rFonts w:hint="eastAsia" w:ascii="仿宋" w:hAnsi="仿宋" w:eastAsia="仿宋" w:cs="仿宋"/>
          <w:color w:val="auto"/>
          <w:kern w:val="0"/>
          <w:sz w:val="24"/>
          <w:highlight w:val="none"/>
        </w:rPr>
        <w:t>单位的政府采购项目。且</w:t>
      </w:r>
      <w:r>
        <w:rPr>
          <w:rFonts w:hint="eastAsia" w:ascii="仿宋" w:hAnsi="仿宋" w:eastAsia="仿宋" w:cs="仿宋"/>
          <w:color w:val="auto"/>
          <w:kern w:val="0"/>
          <w:sz w:val="24"/>
          <w:highlight w:val="none"/>
          <w:lang w:eastAsia="zh-CN"/>
        </w:rPr>
        <w:t>甲方</w:t>
      </w:r>
      <w:r>
        <w:rPr>
          <w:rFonts w:hint="eastAsia" w:ascii="仿宋" w:hAnsi="仿宋" w:eastAsia="仿宋" w:cs="仿宋"/>
          <w:color w:val="auto"/>
          <w:kern w:val="0"/>
          <w:sz w:val="24"/>
          <w:highlight w:val="none"/>
        </w:rPr>
        <w:t>有权委托第三方进行维修，所产生的费用由</w:t>
      </w:r>
      <w:r>
        <w:rPr>
          <w:rFonts w:hint="eastAsia" w:ascii="仿宋" w:hAnsi="仿宋" w:eastAsia="仿宋" w:cs="仿宋"/>
          <w:color w:val="auto"/>
          <w:kern w:val="0"/>
          <w:sz w:val="24"/>
          <w:highlight w:val="none"/>
          <w:lang w:eastAsia="zh-CN"/>
        </w:rPr>
        <w:t>乙方</w:t>
      </w:r>
      <w:r>
        <w:rPr>
          <w:rFonts w:hint="eastAsia" w:ascii="仿宋" w:hAnsi="仿宋" w:eastAsia="仿宋" w:cs="仿宋"/>
          <w:color w:val="auto"/>
          <w:kern w:val="0"/>
          <w:sz w:val="24"/>
          <w:highlight w:val="none"/>
        </w:rPr>
        <w:t>承担。</w:t>
      </w:r>
    </w:p>
    <w:p w14:paraId="02679405">
      <w:pPr>
        <w:keepNext w:val="0"/>
        <w:keepLines w:val="0"/>
        <w:pageBreakBefore w:val="0"/>
        <w:widowControl w:val="0"/>
        <w:wordWrap/>
        <w:overflowPunct/>
        <w:topLinePunct w:val="0"/>
        <w:autoSpaceDE/>
        <w:autoSpaceDN/>
        <w:bidi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十四、验收:</w:t>
      </w:r>
    </w:p>
    <w:p w14:paraId="5720799A">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和</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共同对项目进行验收。其内容包括确认产品的产地、规格、型号和数量，对其产品技术指标、性能参数、样式、颜色，以及质量是否达到现行国家有关验收规范“合格”标准、是否按照</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要求安装到位、是否按照</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要求进行调试和提供相关培训、是否在规定时间内安装完毕、所有产品的配套包装是否完好无损等进行逐项检查。</w:t>
      </w:r>
    </w:p>
    <w:p w14:paraId="4F8609C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所验产品的指标、性能参数通过验收达不到</w:t>
      </w:r>
      <w:r>
        <w:rPr>
          <w:rFonts w:hint="eastAsia" w:ascii="仿宋" w:hAnsi="仿宋" w:eastAsia="仿宋" w:cs="仿宋"/>
          <w:color w:val="auto"/>
          <w:sz w:val="24"/>
          <w:szCs w:val="24"/>
          <w:highlight w:val="none"/>
          <w:lang w:eastAsia="zh-CN"/>
        </w:rPr>
        <w:t>竞争性谈判文件</w:t>
      </w:r>
      <w:r>
        <w:rPr>
          <w:rFonts w:hint="eastAsia" w:ascii="仿宋" w:hAnsi="仿宋" w:eastAsia="仿宋" w:cs="仿宋"/>
          <w:color w:val="auto"/>
          <w:sz w:val="24"/>
          <w:szCs w:val="24"/>
          <w:highlight w:val="none"/>
        </w:rPr>
        <w:t>要求和</w:t>
      </w:r>
      <w:r>
        <w:rPr>
          <w:rFonts w:hint="eastAsia" w:ascii="仿宋" w:hAnsi="仿宋" w:eastAsia="仿宋" w:cs="仿宋"/>
          <w:color w:val="auto"/>
          <w:sz w:val="24"/>
          <w:szCs w:val="24"/>
          <w:highlight w:val="none"/>
          <w:lang w:eastAsia="zh-CN"/>
        </w:rPr>
        <w:t>竞争性谈判响应文件</w:t>
      </w:r>
      <w:r>
        <w:rPr>
          <w:rFonts w:hint="eastAsia" w:ascii="仿宋" w:hAnsi="仿宋" w:eastAsia="仿宋" w:cs="仿宋"/>
          <w:color w:val="auto"/>
          <w:sz w:val="24"/>
          <w:szCs w:val="24"/>
          <w:highlight w:val="none"/>
        </w:rPr>
        <w:t>承诺的，或在使用中发现设计缺陷等，将视为产品验收不合格，</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应无条件更换或退货。</w:t>
      </w:r>
    </w:p>
    <w:p w14:paraId="17FE0BB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若发现</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有弄虚作假的，在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阶段故意或随意夸大产品技术性能，</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应无条件退货，并赔偿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相应的损失。</w:t>
      </w:r>
    </w:p>
    <w:p w14:paraId="7B87758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验收标准：按</w:t>
      </w:r>
      <w:r>
        <w:rPr>
          <w:rFonts w:hint="eastAsia" w:ascii="仿宋" w:hAnsi="仿宋" w:eastAsia="仿宋" w:cs="仿宋"/>
          <w:color w:val="auto"/>
          <w:sz w:val="24"/>
          <w:szCs w:val="24"/>
          <w:highlight w:val="none"/>
          <w:lang w:eastAsia="zh-CN"/>
        </w:rPr>
        <w:t>竞争性谈判文件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竞争性谈判响应文件</w:t>
      </w:r>
      <w:r>
        <w:rPr>
          <w:rFonts w:hint="eastAsia" w:ascii="仿宋" w:hAnsi="仿宋" w:eastAsia="仿宋" w:cs="仿宋"/>
          <w:color w:val="auto"/>
          <w:sz w:val="24"/>
          <w:szCs w:val="24"/>
          <w:highlight w:val="none"/>
        </w:rPr>
        <w:t>及澄清函等技术指标进行验收。各项指标均应符合验收标准及要求。</w:t>
      </w:r>
    </w:p>
    <w:p w14:paraId="11A05D0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4.到货完成全部产品安装、调试、部署后开展项目初验，项目初验合格稳定运行三个月，各项指标参数均符合本次项目采购需求后开展项目最终验收。</w:t>
      </w:r>
    </w:p>
    <w:p w14:paraId="58633892">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验收合格后，填写验收单，双方签字盖章后生效。</w:t>
      </w:r>
    </w:p>
    <w:p w14:paraId="05EDC8D3">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验收依据：</w:t>
      </w:r>
    </w:p>
    <w:p w14:paraId="0FFDC84A">
      <w:pPr>
        <w:keepNext w:val="0"/>
        <w:keepLines w:val="0"/>
        <w:pageBreakBefore w:val="0"/>
        <w:widowControl w:val="0"/>
        <w:tabs>
          <w:tab w:val="left" w:pos="498"/>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w:t>
      </w:r>
    </w:p>
    <w:p w14:paraId="0340B893">
      <w:pPr>
        <w:keepNext w:val="0"/>
        <w:keepLines w:val="0"/>
        <w:pageBreakBefore w:val="0"/>
        <w:widowControl w:val="0"/>
        <w:tabs>
          <w:tab w:val="left" w:pos="498"/>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竞争性谈判响应文件</w:t>
      </w:r>
      <w:r>
        <w:rPr>
          <w:rFonts w:hint="eastAsia" w:ascii="仿宋" w:hAnsi="仿宋" w:eastAsia="仿宋" w:cs="仿宋"/>
          <w:color w:val="auto"/>
          <w:sz w:val="24"/>
          <w:szCs w:val="24"/>
          <w:highlight w:val="none"/>
        </w:rPr>
        <w:t>及澄清函、</w:t>
      </w:r>
      <w:r>
        <w:rPr>
          <w:rFonts w:hint="eastAsia" w:ascii="仿宋" w:hAnsi="仿宋" w:eastAsia="仿宋" w:cs="仿宋"/>
          <w:color w:val="auto"/>
          <w:sz w:val="24"/>
          <w:szCs w:val="24"/>
          <w:highlight w:val="none"/>
          <w:lang w:eastAsia="zh-CN"/>
        </w:rPr>
        <w:t>竞争性谈判文件</w:t>
      </w:r>
      <w:r>
        <w:rPr>
          <w:rFonts w:hint="eastAsia" w:ascii="仿宋" w:hAnsi="仿宋" w:eastAsia="仿宋" w:cs="仿宋"/>
          <w:color w:val="auto"/>
          <w:sz w:val="24"/>
          <w:szCs w:val="24"/>
          <w:highlight w:val="none"/>
        </w:rPr>
        <w:t>；</w:t>
      </w:r>
    </w:p>
    <w:p w14:paraId="467B3AED">
      <w:pPr>
        <w:keepNext w:val="0"/>
        <w:keepLines w:val="0"/>
        <w:pageBreakBefore w:val="0"/>
        <w:widowControl w:val="0"/>
        <w:tabs>
          <w:tab w:val="left" w:pos="498"/>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3）国家和行业制定的相应的标准和规范；</w:t>
      </w:r>
    </w:p>
    <w:p w14:paraId="1A7927DD">
      <w:pPr>
        <w:keepNext w:val="0"/>
        <w:keepLines w:val="0"/>
        <w:pageBreakBefore w:val="0"/>
        <w:widowControl w:val="0"/>
        <w:tabs>
          <w:tab w:val="left" w:pos="498"/>
        </w:tabs>
        <w:wordWrap/>
        <w:overflowPunct/>
        <w:topLinePunct w:val="0"/>
        <w:autoSpaceDE/>
        <w:autoSpaceDN/>
        <w:bidi w:val="0"/>
        <w:spacing w:line="360" w:lineRule="auto"/>
        <w:ind w:left="0"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4)产品验收清单（注明各部件的品名、数量、规格型号和原产地或生产厂家）</w:t>
      </w:r>
      <w:r>
        <w:rPr>
          <w:rFonts w:hint="eastAsia" w:ascii="仿宋" w:hAnsi="仿宋" w:eastAsia="仿宋" w:cs="仿宋"/>
          <w:color w:val="auto"/>
          <w:sz w:val="24"/>
          <w:szCs w:val="24"/>
          <w:highlight w:val="none"/>
          <w:lang w:eastAsia="zh-CN"/>
        </w:rPr>
        <w:t>。</w:t>
      </w:r>
    </w:p>
    <w:p w14:paraId="0514693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eastAsia="zh-CN"/>
        </w:rPr>
        <w:t>五</w:t>
      </w:r>
      <w:r>
        <w:rPr>
          <w:rFonts w:hint="eastAsia" w:ascii="仿宋" w:hAnsi="仿宋" w:eastAsia="仿宋" w:cs="仿宋"/>
          <w:b/>
          <w:color w:val="auto"/>
          <w:sz w:val="24"/>
          <w:szCs w:val="24"/>
          <w:highlight w:val="none"/>
        </w:rPr>
        <w:t>、保密</w:t>
      </w:r>
    </w:p>
    <w:p w14:paraId="14DA9A04">
      <w:pPr>
        <w:keepNext w:val="0"/>
        <w:keepLines w:val="0"/>
        <w:pageBreakBefore w:val="0"/>
        <w:widowControl w:val="0"/>
        <w:tabs>
          <w:tab w:val="left" w:pos="1080"/>
        </w:tabs>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须严格保密，对工作中了解到的</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的技术、机密等进行保密，不得向他人泄漏。本合同的解除或终止不免除</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应承担的保密义务。</w:t>
      </w:r>
    </w:p>
    <w:p w14:paraId="5B21E692">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eastAsia="zh-CN"/>
        </w:rPr>
        <w:t>六</w:t>
      </w:r>
      <w:r>
        <w:rPr>
          <w:rFonts w:hint="eastAsia" w:ascii="仿宋" w:hAnsi="仿宋" w:eastAsia="仿宋" w:cs="仿宋"/>
          <w:b/>
          <w:color w:val="auto"/>
          <w:sz w:val="24"/>
          <w:szCs w:val="24"/>
          <w:highlight w:val="none"/>
        </w:rPr>
        <w:t>、知识产权</w:t>
      </w:r>
    </w:p>
    <w:p w14:paraId="58AD00C0">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应对所供产品具有或已取得合法知识产权，</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应保证所供产品及服务不会出现因第三方提出侵犯其专利权、商标权或其它知识产权而引发法律或经济纠纷，否则由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负责解决并承担全部责任；如因此影响到</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的正常使用，</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有权单方解除本合同，</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应无条件向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退回已收取的全部合同价款。</w:t>
      </w:r>
    </w:p>
    <w:p w14:paraId="439686AD">
      <w:pPr>
        <w:spacing w:line="360" w:lineRule="auto"/>
        <w:ind w:firstLine="0" w:firstLineChars="0"/>
        <w:jc w:val="lef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、通知与送达</w:t>
      </w:r>
    </w:p>
    <w:p w14:paraId="10FEF6D5">
      <w:pPr>
        <w:tabs>
          <w:tab w:val="left" w:pos="480"/>
        </w:tabs>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1、甲乙双方应当在3天内将与合同有关的通知、批准、证明、证书、指示、指令、要求、请求、同意、意见、确定和决定等书面函件送达对方当事人。</w:t>
      </w:r>
    </w:p>
    <w:p w14:paraId="097CF172">
      <w:pPr>
        <w:tabs>
          <w:tab w:val="left" w:pos="480"/>
        </w:tabs>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42E38E02">
      <w:pPr>
        <w:tabs>
          <w:tab w:val="left" w:pos="480"/>
        </w:tabs>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3、甲乙双方应当及时签收另一方送达至送达地点和指定接收人的来往信函。拒不签收的，由此增加的费用和（或）延误的交货期由拒绝接收一方承担。</w:t>
      </w:r>
    </w:p>
    <w:p w14:paraId="6A607B12">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、合同争议的解决：</w:t>
      </w:r>
      <w:r>
        <w:rPr>
          <w:rFonts w:hint="eastAsia" w:ascii="仿宋" w:hAnsi="仿宋" w:eastAsia="仿宋" w:cs="仿宋"/>
          <w:color w:val="auto"/>
          <w:sz w:val="24"/>
          <w:szCs w:val="24"/>
          <w:highlight w:val="none"/>
        </w:rPr>
        <w:t>合同执行中发生争议的，当事人双方应协商解决，协商达不成一致时，可向当地行政仲裁机关申请仲裁或者向人民法院</w:t>
      </w:r>
      <w:r>
        <w:rPr>
          <w:rFonts w:hint="eastAsia" w:ascii="仿宋" w:hAnsi="仿宋" w:eastAsia="仿宋" w:cs="仿宋"/>
          <w:color w:val="auto"/>
          <w:sz w:val="24"/>
          <w:szCs w:val="24"/>
          <w:highlight w:val="none"/>
          <w:lang w:eastAsia="zh-CN"/>
        </w:rPr>
        <w:t>提起</w:t>
      </w:r>
      <w:r>
        <w:rPr>
          <w:rFonts w:hint="eastAsia" w:ascii="仿宋" w:hAnsi="仿宋" w:eastAsia="仿宋" w:cs="仿宋"/>
          <w:color w:val="auto"/>
          <w:sz w:val="24"/>
          <w:szCs w:val="24"/>
          <w:highlight w:val="none"/>
        </w:rPr>
        <w:t>诉讼。</w:t>
      </w:r>
    </w:p>
    <w:p w14:paraId="1FBB728F">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 xml:space="preserve">不可抗力情况下的免责约定，双方约定不可抗力情况包括：五级以上地震、大风、大雨、大雪。  </w:t>
      </w:r>
    </w:p>
    <w:p w14:paraId="084BB25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二十、违约责任：</w:t>
      </w:r>
    </w:p>
    <w:p w14:paraId="44989EB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若因政策调整变动，导致项目二期无法实施，甲方不承担任何责任</w:t>
      </w:r>
      <w:r>
        <w:rPr>
          <w:rFonts w:hint="eastAsia" w:ascii="仿宋" w:hAnsi="仿宋" w:eastAsia="仿宋" w:cs="仿宋"/>
          <w:color w:val="auto"/>
          <w:sz w:val="24"/>
          <w:szCs w:val="24"/>
          <w:highlight w:val="none"/>
          <w:lang w:eastAsia="zh-CN"/>
        </w:rPr>
        <w:t>。</w:t>
      </w:r>
    </w:p>
    <w:p w14:paraId="14929CE5">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依据《中华人民共和国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》、《中华人民共和国政府采购法》的相关条款和本合同约定，</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未全面履行合同义务或者发生违约，采购单位会同采购代理机构有权终止合同，依法向</w:t>
      </w:r>
      <w:r>
        <w:rPr>
          <w:rFonts w:hint="eastAsia" w:ascii="仿宋" w:hAnsi="仿宋" w:eastAsia="仿宋" w:cs="仿宋"/>
          <w:color w:val="auto"/>
          <w:sz w:val="24"/>
          <w:szCs w:val="24"/>
          <w:highlight w:val="none"/>
          <w:lang w:eastAsia="zh-CN"/>
        </w:rPr>
        <w:t>成交乙方</w:t>
      </w:r>
      <w:r>
        <w:rPr>
          <w:rFonts w:hint="eastAsia" w:ascii="仿宋" w:hAnsi="仿宋" w:eastAsia="仿宋" w:cs="仿宋"/>
          <w:color w:val="auto"/>
          <w:sz w:val="24"/>
          <w:szCs w:val="24"/>
          <w:highlight w:val="none"/>
        </w:rPr>
        <w:t>进行经济索赔，并报请政府采购监督管理机关进行相应的行政处罚。采购单位违约的，应当赔偿给</w:t>
      </w:r>
      <w:r>
        <w:rPr>
          <w:rFonts w:hint="eastAsia" w:ascii="仿宋" w:hAnsi="仿宋" w:eastAsia="仿宋" w:cs="仿宋"/>
          <w:color w:val="auto"/>
          <w:sz w:val="24"/>
          <w:szCs w:val="24"/>
          <w:highlight w:val="none"/>
          <w:lang w:eastAsia="zh-CN"/>
        </w:rPr>
        <w:t>成交乙方</w:t>
      </w:r>
      <w:r>
        <w:rPr>
          <w:rFonts w:hint="eastAsia" w:ascii="仿宋" w:hAnsi="仿宋" w:eastAsia="仿宋" w:cs="仿宋"/>
          <w:color w:val="auto"/>
          <w:sz w:val="24"/>
          <w:szCs w:val="24"/>
          <w:highlight w:val="none"/>
        </w:rPr>
        <w:t>造成的经济损失。</w:t>
      </w:r>
    </w:p>
    <w:p w14:paraId="214C341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二十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、其他（</w:t>
      </w:r>
      <w:r>
        <w:rPr>
          <w:rFonts w:hint="eastAsia" w:ascii="仿宋" w:hAnsi="仿宋" w:eastAsia="仿宋" w:cs="仿宋"/>
          <w:color w:val="auto"/>
          <w:sz w:val="24"/>
          <w:szCs w:val="24"/>
          <w:highlight w:val="none"/>
        </w:rPr>
        <w:t>在合同中具体明确）</w:t>
      </w:r>
    </w:p>
    <w:p w14:paraId="7211316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二十</w:t>
      </w:r>
      <w:r>
        <w:rPr>
          <w:rFonts w:hint="eastAsia" w:ascii="仿宋" w:hAnsi="仿宋" w:eastAsia="仿宋" w:cs="仿宋"/>
          <w:b/>
          <w:color w:val="auto"/>
          <w:sz w:val="24"/>
          <w:highlight w:val="none"/>
          <w:lang w:val="en-US" w:eastAsia="zh-CN"/>
        </w:rPr>
        <w:t>二</w:t>
      </w:r>
      <w:r>
        <w:rPr>
          <w:rFonts w:hint="eastAsia" w:ascii="仿宋" w:hAnsi="仿宋" w:eastAsia="仿宋" w:cs="仿宋"/>
          <w:b/>
          <w:color w:val="auto"/>
          <w:sz w:val="24"/>
          <w:highlight w:val="none"/>
        </w:rPr>
        <w:t>、合同订立</w:t>
      </w:r>
    </w:p>
    <w:p w14:paraId="34F2D8BC">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1. 订立时间：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8C894F1">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 订立地点：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73D0CE55">
      <w:pPr>
        <w:keepNext w:val="0"/>
        <w:keepLines w:val="0"/>
        <w:pageBreakBefore w:val="0"/>
        <w:widowControl w:val="0"/>
        <w:tabs>
          <w:tab w:val="left" w:pos="980"/>
        </w:tabs>
        <w:kinsoku w:val="0"/>
        <w:wordWrap/>
        <w:overflowPunct/>
        <w:topLinePunct w:val="0"/>
        <w:autoSpaceDE/>
        <w:autoSpaceDN/>
        <w:bidi w:val="0"/>
        <w:spacing w:line="360" w:lineRule="auto"/>
        <w:ind w:left="0" w:firstLine="480" w:firstLineChars="20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 </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陆</w:t>
      </w:r>
      <w:r>
        <w:rPr>
          <w:rFonts w:hint="eastAsia" w:ascii="仿宋" w:hAnsi="仿宋" w:eastAsia="仿宋" w:cs="仿宋"/>
          <w:color w:val="auto"/>
          <w:sz w:val="24"/>
          <w:szCs w:val="24"/>
          <w:highlight w:val="none"/>
        </w:rPr>
        <w:t>份，其中，合同</w:t>
      </w:r>
      <w:r>
        <w:rPr>
          <w:rFonts w:hint="eastAsia" w:ascii="仿宋" w:hAnsi="仿宋" w:eastAsia="仿宋" w:cs="仿宋"/>
          <w:color w:val="auto"/>
          <w:sz w:val="24"/>
          <w:szCs w:val="24"/>
          <w:highlight w:val="none"/>
          <w:u w:val="single"/>
        </w:rPr>
        <w:t>正本一式贰份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副本一式肆份</w:t>
      </w:r>
      <w:r>
        <w:rPr>
          <w:rFonts w:hint="eastAsia" w:ascii="仿宋" w:hAnsi="仿宋" w:eastAsia="仿宋" w:cs="仿宋"/>
          <w:color w:val="auto"/>
          <w:sz w:val="24"/>
          <w:szCs w:val="24"/>
          <w:highlight w:val="none"/>
        </w:rPr>
        <w:t>，具有同等法律效力</w:t>
      </w:r>
      <w:bookmarkStart w:id="10" w:name="OLE_LINK37"/>
      <w:r>
        <w:rPr>
          <w:rFonts w:hint="eastAsia" w:ascii="仿宋" w:hAnsi="仿宋" w:eastAsia="仿宋" w:cs="仿宋"/>
          <w:color w:val="auto"/>
          <w:sz w:val="24"/>
          <w:szCs w:val="24"/>
          <w:highlight w:val="none"/>
        </w:rPr>
        <w:t>，正副本不一致，以正本为准</w:t>
      </w:r>
      <w:bookmarkEnd w:id="10"/>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双</w:t>
      </w:r>
      <w:r>
        <w:rPr>
          <w:rFonts w:hint="eastAsia" w:ascii="仿宋" w:hAnsi="仿宋" w:eastAsia="仿宋" w:cs="仿宋"/>
          <w:color w:val="auto"/>
          <w:sz w:val="24"/>
          <w:szCs w:val="24"/>
          <w:highlight w:val="none"/>
        </w:rPr>
        <w:t>方签字盖章后生效，合同执行完毕自动失效。（合同的服务承诺则长期有效）。</w:t>
      </w:r>
    </w:p>
    <w:p w14:paraId="7C817D50">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甲方</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（盖章）     </w:t>
      </w:r>
      <w:r>
        <w:rPr>
          <w:rFonts w:hint="eastAsia" w:ascii="仿宋" w:hAnsi="仿宋" w:eastAsia="仿宋" w:cs="仿宋"/>
          <w:color w:val="auto"/>
          <w:szCs w:val="24"/>
          <w:highlight w:val="none"/>
        </w:rPr>
        <w:t xml:space="preserve">           </w:t>
      </w:r>
      <w:r>
        <w:rPr>
          <w:rFonts w:hint="eastAsia" w:ascii="仿宋" w:hAnsi="仿宋" w:eastAsia="仿宋" w:cs="仿宋"/>
          <w:color w:val="auto"/>
          <w:szCs w:val="24"/>
          <w:highlight w:val="none"/>
          <w:lang w:eastAsia="zh-CN"/>
        </w:rPr>
        <w:t>乙方</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（盖章）    </w:t>
      </w:r>
    </w:p>
    <w:p w14:paraId="6A6D9C1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地址：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地址： </w:t>
      </w:r>
      <w:r>
        <w:rPr>
          <w:rFonts w:hint="eastAsia" w:ascii="仿宋" w:hAnsi="仿宋" w:eastAsia="仿宋" w:cs="仿宋"/>
          <w:color w:val="auto"/>
          <w:szCs w:val="24"/>
          <w:highlight w:val="none"/>
          <w:u w:val="single"/>
        </w:rPr>
        <w:t xml:space="preserve">                      </w:t>
      </w:r>
    </w:p>
    <w:p w14:paraId="51FB3C34">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邮政编码：</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邮政编码：</w:t>
      </w:r>
      <w:r>
        <w:rPr>
          <w:rFonts w:hint="eastAsia" w:ascii="仿宋" w:hAnsi="仿宋" w:eastAsia="仿宋" w:cs="仿宋"/>
          <w:color w:val="auto"/>
          <w:szCs w:val="24"/>
          <w:highlight w:val="none"/>
          <w:u w:val="single"/>
        </w:rPr>
        <w:t xml:space="preserve">                  </w:t>
      </w:r>
    </w:p>
    <w:p w14:paraId="64E4CE64">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法定代表人</w:t>
      </w:r>
      <w:r>
        <w:rPr>
          <w:rFonts w:hint="eastAsia" w:ascii="仿宋" w:hAnsi="仿宋" w:eastAsia="仿宋" w:cs="仿宋"/>
          <w:color w:val="auto"/>
          <w:szCs w:val="24"/>
          <w:highlight w:val="none"/>
        </w:rPr>
        <w:t xml:space="preserve">或其授权         </w:t>
      </w:r>
      <w:r>
        <w:rPr>
          <w:rFonts w:hint="eastAsia" w:ascii="仿宋" w:hAnsi="仿宋" w:eastAsia="仿宋" w:cs="仿宋"/>
          <w:color w:val="auto"/>
          <w:szCs w:val="24"/>
          <w:highlight w:val="none"/>
          <w:lang w:eastAsia="zh-CN"/>
        </w:rPr>
        <w:t>法定代表人</w:t>
      </w:r>
      <w:r>
        <w:rPr>
          <w:rFonts w:hint="eastAsia" w:ascii="仿宋" w:hAnsi="仿宋" w:eastAsia="仿宋" w:cs="仿宋"/>
          <w:color w:val="auto"/>
          <w:szCs w:val="24"/>
          <w:highlight w:val="none"/>
        </w:rPr>
        <w:t>或其授权</w:t>
      </w:r>
    </w:p>
    <w:p w14:paraId="57556FD2">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的代理人：</w:t>
      </w:r>
      <w:r>
        <w:rPr>
          <w:rFonts w:hint="eastAsia" w:ascii="仿宋" w:hAnsi="仿宋" w:eastAsia="仿宋" w:cs="仿宋"/>
          <w:color w:val="auto"/>
          <w:szCs w:val="24"/>
          <w:highlight w:val="none"/>
          <w:u w:val="single"/>
        </w:rPr>
        <w:t xml:space="preserve">（签字）      </w:t>
      </w:r>
      <w:r>
        <w:rPr>
          <w:rFonts w:hint="eastAsia" w:ascii="仿宋" w:hAnsi="仿宋" w:eastAsia="仿宋" w:cs="仿宋"/>
          <w:color w:val="auto"/>
          <w:szCs w:val="24"/>
          <w:highlight w:val="none"/>
        </w:rPr>
        <w:t xml:space="preserve">           的代理人：</w:t>
      </w:r>
      <w:r>
        <w:rPr>
          <w:rFonts w:hint="eastAsia" w:ascii="仿宋" w:hAnsi="仿宋" w:eastAsia="仿宋" w:cs="仿宋"/>
          <w:color w:val="auto"/>
          <w:szCs w:val="24"/>
          <w:highlight w:val="none"/>
          <w:u w:val="single"/>
        </w:rPr>
        <w:t xml:space="preserve">（签字）          </w:t>
      </w:r>
    </w:p>
    <w:p w14:paraId="795EF42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开户银行：</w:t>
      </w:r>
      <w:r>
        <w:rPr>
          <w:rFonts w:hint="eastAsia" w:ascii="仿宋" w:hAnsi="仿宋" w:eastAsia="仿宋" w:cs="仿宋"/>
          <w:color w:val="auto"/>
          <w:szCs w:val="24"/>
          <w:highlight w:val="none"/>
          <w:u w:val="single"/>
        </w:rPr>
        <w:t xml:space="preserve">                  </w:t>
      </w:r>
    </w:p>
    <w:p w14:paraId="5B5142EA">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账号：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账号：</w:t>
      </w:r>
      <w:r>
        <w:rPr>
          <w:rFonts w:hint="eastAsia" w:ascii="仿宋" w:hAnsi="仿宋" w:eastAsia="仿宋" w:cs="仿宋"/>
          <w:color w:val="auto"/>
          <w:szCs w:val="24"/>
          <w:highlight w:val="none"/>
          <w:u w:val="single"/>
        </w:rPr>
        <w:t xml:space="preserve">                       </w:t>
      </w:r>
    </w:p>
    <w:p w14:paraId="558AC31E">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电话：</w:t>
      </w:r>
      <w:r>
        <w:rPr>
          <w:rFonts w:hint="eastAsia" w:ascii="仿宋" w:hAnsi="仿宋" w:eastAsia="仿宋" w:cs="仿宋"/>
          <w:color w:val="auto"/>
          <w:szCs w:val="24"/>
          <w:highlight w:val="none"/>
          <w:u w:val="single"/>
        </w:rPr>
        <w:t xml:space="preserve">                       </w:t>
      </w:r>
    </w:p>
    <w:p w14:paraId="007A632A">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传真：</w:t>
      </w:r>
      <w:r>
        <w:rPr>
          <w:rFonts w:hint="eastAsia" w:ascii="仿宋" w:hAnsi="仿宋" w:eastAsia="仿宋" w:cs="仿宋"/>
          <w:color w:val="auto"/>
          <w:szCs w:val="24"/>
          <w:highlight w:val="none"/>
          <w:u w:val="single"/>
        </w:rPr>
        <w:t xml:space="preserve">                       </w:t>
      </w:r>
    </w:p>
    <w:p w14:paraId="6E6EAA8F">
      <w:pPr>
        <w:adjustRightInd w:val="0"/>
        <w:snapToGrid w:val="0"/>
        <w:spacing w:line="360" w:lineRule="auto"/>
        <w:ind w:firstLine="415" w:firstLineChars="198"/>
        <w:rPr>
          <w:rFonts w:hint="eastAsia" w:ascii="仿宋" w:hAnsi="仿宋" w:eastAsia="仿宋" w:cs="仿宋"/>
          <w:color w:val="auto"/>
          <w:szCs w:val="24"/>
          <w:highlight w:val="none"/>
          <w:lang w:val="en-US" w:eastAsia="zh-Hans"/>
        </w:rPr>
      </w:pPr>
      <w:r>
        <w:rPr>
          <w:rFonts w:hint="eastAsia" w:ascii="仿宋" w:hAnsi="仿宋" w:eastAsia="仿宋" w:cs="仿宋"/>
          <w:color w:val="auto"/>
          <w:szCs w:val="24"/>
          <w:highlight w:val="none"/>
        </w:rPr>
        <w:t>电子邮箱：</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rPr>
        <w:t>电子邮箱：</w:t>
      </w:r>
      <w:r>
        <w:rPr>
          <w:rFonts w:hint="eastAsia" w:ascii="仿宋" w:hAnsi="仿宋" w:eastAsia="仿宋" w:cs="仿宋"/>
          <w:color w:val="auto"/>
          <w:szCs w:val="24"/>
          <w:highlight w:val="none"/>
          <w:u w:val="single"/>
        </w:rPr>
        <w:t xml:space="preserve">                      </w:t>
      </w:r>
    </w:p>
    <w:p w14:paraId="55297DAA">
      <w:bookmarkStart w:id="11" w:name="_GoBack"/>
      <w:bookmarkEnd w:id="11"/>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EC3DA0"/>
    <w:rsid w:val="200B0D98"/>
    <w:rsid w:val="38EC3DA0"/>
    <w:rsid w:val="49DB3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Times New Roman"/>
      <w:kern w:val="2"/>
      <w:sz w:val="21"/>
    </w:rPr>
  </w:style>
  <w:style w:type="paragraph" w:styleId="4">
    <w:name w:val="Plain Text"/>
    <w:basedOn w:val="1"/>
    <w:qFormat/>
    <w:uiPriority w:val="0"/>
    <w:rPr>
      <w:rFonts w:hAnsi="Courier New"/>
      <w:kern w:val="2"/>
      <w:sz w:val="21"/>
    </w:r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2025-11-11T08:47:00Z</dcterms:created>
  <dc:creator>echo</dc:creator>
  <cp:lastModifiedBy>echo</cp:lastModifiedBy>
  <dcterms:modified xsi:type="dcterms:W3CDTF">2025-11-11T08:47:53Z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2FCB8A782B3C4329902CEC3617C1F4B5_11</vt:lpwstr>
  </property>
  <property fmtid="{D5CDD505-2E9C-101B-9397-08002B2CF9AE}" pid="4" name="KSOTemplateDocerSaveRecord">
    <vt:lpwstr>eyJoZGlkIjoiMTU1MjA4MDE1M2UyNDQ5OTZmNTY2MzZkYzY2NjJiOTQiLCJ1c2VySWQiOiIyNDg2NTg2NDAifQ==</vt:lpwstr>
  </property>
</Properties>
</file>