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35004">
      <w:pPr>
        <w:rPr>
          <w:b/>
          <w:bCs/>
          <w:kern w:val="44"/>
          <w:sz w:val="21"/>
          <w:szCs w:val="21"/>
          <w:highlight w:val="none"/>
        </w:rPr>
      </w:pPr>
    </w:p>
    <w:p w14:paraId="3AE7F2A3">
      <w:pPr>
        <w:rPr>
          <w:b/>
          <w:bCs/>
          <w:kern w:val="44"/>
          <w:sz w:val="21"/>
          <w:szCs w:val="21"/>
          <w:highlight w:val="none"/>
        </w:rPr>
      </w:pPr>
    </w:p>
    <w:p w14:paraId="7217483F">
      <w:pPr>
        <w:rPr>
          <w:b/>
          <w:bCs/>
          <w:kern w:val="44"/>
          <w:sz w:val="21"/>
          <w:szCs w:val="21"/>
          <w:highlight w:val="none"/>
        </w:rPr>
      </w:pPr>
    </w:p>
    <w:p w14:paraId="63A34654">
      <w:pPr>
        <w:rPr>
          <w:b/>
          <w:bCs/>
          <w:kern w:val="44"/>
          <w:sz w:val="21"/>
          <w:szCs w:val="21"/>
          <w:highlight w:val="none"/>
        </w:rPr>
      </w:pPr>
    </w:p>
    <w:p w14:paraId="24938923">
      <w:pPr>
        <w:rPr>
          <w:b/>
          <w:bCs/>
          <w:kern w:val="44"/>
          <w:sz w:val="21"/>
          <w:szCs w:val="21"/>
          <w:highlight w:val="none"/>
        </w:rPr>
      </w:pPr>
    </w:p>
    <w:p w14:paraId="0F5D757D">
      <w:pPr>
        <w:rPr>
          <w:b/>
          <w:bCs/>
          <w:kern w:val="44"/>
          <w:sz w:val="21"/>
          <w:szCs w:val="21"/>
          <w:highlight w:val="none"/>
        </w:rPr>
      </w:pPr>
    </w:p>
    <w:p w14:paraId="63A18939">
      <w:pPr>
        <w:rPr>
          <w:b/>
          <w:bCs/>
          <w:kern w:val="44"/>
          <w:sz w:val="21"/>
          <w:szCs w:val="21"/>
          <w:highlight w:val="none"/>
        </w:rPr>
      </w:pPr>
    </w:p>
    <w:p w14:paraId="4F7CA573">
      <w:pPr>
        <w:pStyle w:val="4"/>
        <w:rPr>
          <w:highlight w:val="none"/>
        </w:rPr>
      </w:pPr>
    </w:p>
    <w:p w14:paraId="4044C709">
      <w:pPr>
        <w:bidi w:val="0"/>
        <w:jc w:val="center"/>
        <w:rPr>
          <w:b/>
          <w:bCs/>
          <w:sz w:val="52"/>
          <w:szCs w:val="52"/>
          <w:highlight w:val="none"/>
        </w:rPr>
      </w:pPr>
      <w:r>
        <w:rPr>
          <w:rFonts w:hint="eastAsia"/>
          <w:b/>
          <w:bCs/>
          <w:sz w:val="52"/>
          <w:szCs w:val="52"/>
          <w:highlight w:val="none"/>
        </w:rPr>
        <w:t>政府采购合同格式</w:t>
      </w:r>
    </w:p>
    <w:p w14:paraId="3FDFAA4E">
      <w:pPr>
        <w:adjustRightInd w:val="0"/>
        <w:snapToGrid w:val="0"/>
        <w:spacing w:line="360" w:lineRule="auto"/>
        <w:jc w:val="center"/>
        <w:rPr>
          <w:b/>
          <w:bCs/>
          <w:sz w:val="21"/>
          <w:szCs w:val="21"/>
          <w:highlight w:val="none"/>
        </w:rPr>
      </w:pPr>
      <w:bookmarkStart w:id="0" w:name="_Hlt16619369"/>
      <w:bookmarkEnd w:id="0"/>
    </w:p>
    <w:p w14:paraId="4B0BAE40">
      <w:pPr>
        <w:adjustRightInd w:val="0"/>
        <w:snapToGrid w:val="0"/>
        <w:spacing w:line="360" w:lineRule="auto"/>
        <w:jc w:val="center"/>
        <w:rPr>
          <w:b/>
          <w:bCs/>
          <w:sz w:val="21"/>
          <w:szCs w:val="21"/>
          <w:highlight w:val="none"/>
        </w:rPr>
      </w:pPr>
    </w:p>
    <w:p w14:paraId="0E87B36F">
      <w:pPr>
        <w:adjustRightInd w:val="0"/>
        <w:snapToGrid w:val="0"/>
        <w:spacing w:line="360" w:lineRule="auto"/>
        <w:jc w:val="center"/>
        <w:rPr>
          <w:b/>
          <w:bCs/>
          <w:sz w:val="21"/>
          <w:szCs w:val="21"/>
          <w:highlight w:val="none"/>
        </w:rPr>
      </w:pPr>
    </w:p>
    <w:p w14:paraId="29554027">
      <w:pPr>
        <w:spacing w:line="360" w:lineRule="auto"/>
        <w:rPr>
          <w:sz w:val="21"/>
          <w:szCs w:val="21"/>
          <w:highlight w:val="none"/>
        </w:rPr>
      </w:pPr>
      <w:r>
        <w:rPr>
          <w:rFonts w:hint="eastAsia"/>
          <w:b/>
          <w:bCs/>
          <w:szCs w:val="21"/>
          <w:highlight w:val="none"/>
        </w:rPr>
        <w:t>（本格式条款供甲乙双方签订合同参考，招标人可根据项目的实际情况增减条款和内容）</w:t>
      </w:r>
    </w:p>
    <w:p w14:paraId="6B005A65">
      <w:pPr>
        <w:spacing w:line="360" w:lineRule="auto"/>
        <w:ind w:firstLine="480"/>
        <w:rPr>
          <w:sz w:val="21"/>
          <w:szCs w:val="21"/>
          <w:highlight w:val="none"/>
        </w:rPr>
      </w:pPr>
    </w:p>
    <w:p w14:paraId="1F55A422">
      <w:pPr>
        <w:spacing w:line="360" w:lineRule="auto"/>
        <w:ind w:firstLine="480"/>
        <w:rPr>
          <w:sz w:val="21"/>
          <w:szCs w:val="21"/>
          <w:highlight w:val="none"/>
        </w:rPr>
      </w:pPr>
    </w:p>
    <w:p w14:paraId="319CDD80">
      <w:pPr>
        <w:spacing w:line="360" w:lineRule="auto"/>
        <w:ind w:firstLine="480"/>
        <w:rPr>
          <w:sz w:val="21"/>
          <w:szCs w:val="21"/>
          <w:highlight w:val="none"/>
        </w:rPr>
      </w:pPr>
    </w:p>
    <w:p w14:paraId="4AC0B85F">
      <w:pPr>
        <w:pStyle w:val="2"/>
        <w:spacing w:line="360" w:lineRule="auto"/>
        <w:rPr>
          <w:sz w:val="21"/>
          <w:szCs w:val="21"/>
          <w:highlight w:val="none"/>
        </w:rPr>
      </w:pPr>
    </w:p>
    <w:p w14:paraId="0D8FC419">
      <w:pPr>
        <w:spacing w:line="360" w:lineRule="auto"/>
        <w:rPr>
          <w:sz w:val="21"/>
          <w:szCs w:val="21"/>
          <w:highlight w:val="none"/>
        </w:rPr>
      </w:pPr>
    </w:p>
    <w:p w14:paraId="5BE25BBD">
      <w:pPr>
        <w:pStyle w:val="7"/>
        <w:spacing w:line="360" w:lineRule="auto"/>
        <w:rPr>
          <w:sz w:val="21"/>
          <w:szCs w:val="21"/>
          <w:highlight w:val="none"/>
        </w:rPr>
      </w:pPr>
    </w:p>
    <w:p w14:paraId="4D895989">
      <w:pPr>
        <w:pStyle w:val="7"/>
        <w:spacing w:line="360" w:lineRule="auto"/>
        <w:rPr>
          <w:sz w:val="21"/>
          <w:szCs w:val="21"/>
          <w:highlight w:val="none"/>
        </w:rPr>
      </w:pPr>
    </w:p>
    <w:p w14:paraId="3AB5709C">
      <w:pPr>
        <w:pStyle w:val="7"/>
        <w:spacing w:line="360" w:lineRule="auto"/>
        <w:rPr>
          <w:sz w:val="21"/>
          <w:szCs w:val="21"/>
          <w:highlight w:val="none"/>
        </w:rPr>
      </w:pPr>
    </w:p>
    <w:p w14:paraId="771AEFAB">
      <w:pPr>
        <w:pStyle w:val="7"/>
        <w:spacing w:line="360" w:lineRule="auto"/>
        <w:rPr>
          <w:sz w:val="21"/>
          <w:szCs w:val="21"/>
          <w:highlight w:val="none"/>
        </w:rPr>
      </w:pPr>
    </w:p>
    <w:p w14:paraId="7AD72BA7">
      <w:pPr>
        <w:pStyle w:val="7"/>
        <w:spacing w:line="360" w:lineRule="auto"/>
        <w:rPr>
          <w:sz w:val="21"/>
          <w:szCs w:val="21"/>
          <w:highlight w:val="none"/>
        </w:rPr>
      </w:pPr>
    </w:p>
    <w:p w14:paraId="5490E2BF">
      <w:pPr>
        <w:pStyle w:val="7"/>
        <w:spacing w:line="360" w:lineRule="auto"/>
        <w:rPr>
          <w:sz w:val="21"/>
          <w:szCs w:val="21"/>
          <w:highlight w:val="none"/>
        </w:rPr>
      </w:pPr>
    </w:p>
    <w:p w14:paraId="782314D3">
      <w:pPr>
        <w:spacing w:line="360" w:lineRule="auto"/>
        <w:ind w:left="1063" w:leftChars="100" w:hanging="843" w:hangingChars="400"/>
        <w:rPr>
          <w:b/>
          <w:sz w:val="21"/>
          <w:szCs w:val="21"/>
          <w:highlight w:val="none"/>
          <w:u w:val="single"/>
        </w:rPr>
      </w:pPr>
      <w:r>
        <w:rPr>
          <w:rFonts w:hint="eastAsia"/>
          <w:b/>
          <w:sz w:val="21"/>
          <w:szCs w:val="21"/>
          <w:highlight w:val="none"/>
        </w:rPr>
        <w:t>甲方(委托方)：</w:t>
      </w:r>
      <w:r>
        <w:rPr>
          <w:rFonts w:hint="eastAsia"/>
          <w:b/>
          <w:sz w:val="21"/>
          <w:szCs w:val="21"/>
          <w:highlight w:val="none"/>
          <w:u w:val="single"/>
        </w:rPr>
        <w:t xml:space="preserve">                           </w:t>
      </w:r>
    </w:p>
    <w:p w14:paraId="0D489497">
      <w:pPr>
        <w:spacing w:line="360" w:lineRule="auto"/>
        <w:ind w:left="1063" w:leftChars="100" w:hanging="843" w:hangingChars="400"/>
        <w:rPr>
          <w:b/>
          <w:sz w:val="21"/>
          <w:szCs w:val="21"/>
          <w:highlight w:val="none"/>
          <w:u w:val="single"/>
        </w:rPr>
      </w:pPr>
      <w:r>
        <w:rPr>
          <w:rFonts w:hint="eastAsia"/>
          <w:b/>
          <w:sz w:val="21"/>
          <w:szCs w:val="21"/>
          <w:highlight w:val="none"/>
        </w:rPr>
        <w:t>乙方(受托方)：</w:t>
      </w:r>
      <w:r>
        <w:rPr>
          <w:rFonts w:hint="eastAsia"/>
          <w:b/>
          <w:sz w:val="21"/>
          <w:szCs w:val="21"/>
          <w:highlight w:val="none"/>
          <w:u w:val="single"/>
        </w:rPr>
        <w:t xml:space="preserve">                                           </w:t>
      </w:r>
    </w:p>
    <w:p w14:paraId="395A0F9D">
      <w:pPr>
        <w:spacing w:line="360" w:lineRule="auto"/>
        <w:jc w:val="center"/>
        <w:rPr>
          <w:b/>
          <w:sz w:val="21"/>
          <w:szCs w:val="21"/>
          <w:highlight w:val="none"/>
        </w:rPr>
      </w:pPr>
    </w:p>
    <w:p w14:paraId="5E8CAC1A">
      <w:pPr>
        <w:spacing w:line="360" w:lineRule="auto"/>
        <w:jc w:val="center"/>
        <w:rPr>
          <w:b/>
          <w:sz w:val="21"/>
          <w:szCs w:val="21"/>
          <w:highlight w:val="none"/>
        </w:rPr>
      </w:pPr>
      <w:r>
        <w:rPr>
          <w:rFonts w:hint="eastAsia"/>
          <w:b/>
          <w:sz w:val="21"/>
          <w:szCs w:val="21"/>
          <w:highlight w:val="none"/>
        </w:rPr>
        <w:t>二〇二</w:t>
      </w:r>
      <w:r>
        <w:rPr>
          <w:rFonts w:hint="eastAsia"/>
          <w:b/>
          <w:sz w:val="21"/>
          <w:szCs w:val="21"/>
          <w:highlight w:val="none"/>
          <w:lang w:val="en-US" w:eastAsia="zh-CN"/>
        </w:rPr>
        <w:t>五</w:t>
      </w:r>
      <w:r>
        <w:rPr>
          <w:rFonts w:hint="eastAsia"/>
          <w:b/>
          <w:sz w:val="21"/>
          <w:szCs w:val="21"/>
          <w:highlight w:val="none"/>
        </w:rPr>
        <w:t>年  月</w:t>
      </w:r>
    </w:p>
    <w:p w14:paraId="17FB44F2">
      <w:pPr>
        <w:spacing w:line="360" w:lineRule="auto"/>
        <w:jc w:val="center"/>
        <w:rPr>
          <w:bCs/>
          <w:sz w:val="21"/>
          <w:szCs w:val="21"/>
          <w:highlight w:val="none"/>
        </w:rPr>
      </w:pPr>
    </w:p>
    <w:p w14:paraId="45829D17">
      <w:pPr>
        <w:spacing w:line="360" w:lineRule="auto"/>
        <w:ind w:firstLine="480"/>
        <w:rPr>
          <w:b/>
          <w:bCs/>
          <w:szCs w:val="21"/>
          <w:highlight w:val="none"/>
        </w:rPr>
      </w:pPr>
      <w:r>
        <w:rPr>
          <w:rFonts w:hint="eastAsia"/>
          <w:sz w:val="21"/>
          <w:szCs w:val="21"/>
          <w:highlight w:val="none"/>
        </w:rPr>
        <w:br w:type="page"/>
      </w:r>
    </w:p>
    <w:p w14:paraId="4FB4983C">
      <w:pPr>
        <w:jc w:val="center"/>
        <w:rPr>
          <w:b/>
          <w:color w:val="auto"/>
          <w:sz w:val="28"/>
          <w:szCs w:val="28"/>
          <w:highlight w:val="none"/>
        </w:rPr>
      </w:pPr>
      <w:r>
        <w:rPr>
          <w:rFonts w:hint="eastAsia"/>
          <w:b/>
          <w:color w:val="auto"/>
          <w:sz w:val="28"/>
          <w:szCs w:val="28"/>
          <w:highlight w:val="none"/>
          <w:lang w:eastAsia="zh-CN"/>
        </w:rPr>
        <w:t>2025年西安市民宗委宗教管理信息系统建设项目</w:t>
      </w:r>
      <w:r>
        <w:rPr>
          <w:rFonts w:hint="eastAsia"/>
          <w:b/>
          <w:color w:val="auto"/>
          <w:sz w:val="28"/>
          <w:szCs w:val="28"/>
          <w:highlight w:val="none"/>
        </w:rPr>
        <w:t>合同模板</w:t>
      </w:r>
    </w:p>
    <w:p w14:paraId="54364FFD">
      <w:pPr>
        <w:rPr>
          <w:b/>
          <w:color w:val="auto"/>
          <w:sz w:val="24"/>
          <w:highlight w:val="none"/>
        </w:rPr>
      </w:pPr>
      <w:r>
        <w:rPr>
          <w:color w:val="auto"/>
          <w:highlight w:val="none"/>
        </w:rPr>
        <w:t xml:space="preserve">    </w:t>
      </w:r>
    </w:p>
    <w:p w14:paraId="7FF7C661">
      <w:pPr>
        <w:rPr>
          <w:color w:val="auto"/>
          <w:sz w:val="24"/>
          <w:szCs w:val="24"/>
          <w:highlight w:val="none"/>
        </w:rPr>
      </w:pPr>
      <w:r>
        <w:rPr>
          <w:rFonts w:hint="eastAsia"/>
          <w:b/>
          <w:color w:val="auto"/>
          <w:sz w:val="24"/>
          <w:szCs w:val="24"/>
          <w:highlight w:val="none"/>
        </w:rPr>
        <w:t>甲方</w:t>
      </w:r>
      <w:r>
        <w:rPr>
          <w:rFonts w:hint="eastAsia"/>
          <w:color w:val="auto"/>
          <w:sz w:val="24"/>
          <w:szCs w:val="24"/>
          <w:highlight w:val="none"/>
        </w:rPr>
        <w:t>：</w:t>
      </w:r>
      <w:r>
        <w:rPr>
          <w:color w:val="auto"/>
          <w:sz w:val="24"/>
          <w:szCs w:val="24"/>
          <w:highlight w:val="none"/>
        </w:rPr>
        <w:t xml:space="preserve"> </w:t>
      </w:r>
    </w:p>
    <w:p w14:paraId="7478916B">
      <w:pPr>
        <w:rPr>
          <w:color w:val="auto"/>
          <w:sz w:val="24"/>
          <w:szCs w:val="24"/>
          <w:highlight w:val="none"/>
        </w:rPr>
      </w:pPr>
      <w:r>
        <w:rPr>
          <w:rFonts w:hint="eastAsia"/>
          <w:b/>
          <w:color w:val="auto"/>
          <w:sz w:val="24"/>
          <w:szCs w:val="24"/>
          <w:highlight w:val="none"/>
        </w:rPr>
        <w:t>乙方</w:t>
      </w:r>
      <w:r>
        <w:rPr>
          <w:rFonts w:hint="eastAsia"/>
          <w:color w:val="auto"/>
          <w:sz w:val="24"/>
          <w:szCs w:val="24"/>
          <w:highlight w:val="none"/>
        </w:rPr>
        <w:t>：</w:t>
      </w:r>
    </w:p>
    <w:p w14:paraId="4F1834C6">
      <w:pPr>
        <w:rPr>
          <w:color w:val="auto"/>
          <w:sz w:val="24"/>
          <w:highlight w:val="none"/>
        </w:rPr>
      </w:pPr>
    </w:p>
    <w:p w14:paraId="45DF7D2B">
      <w:pPr>
        <w:pStyle w:val="3"/>
        <w:spacing w:line="360" w:lineRule="auto"/>
        <w:ind w:left="440"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鉴于甲方为提升西安市宗教工作信息化管理水平，规范宗教事务管理流程，基于业务、管理等信息化建设需求，本着真诚合作的原则，根据《中华人民共和国民法典》《中华人民共和国政府采购法》《宗教事务条例》及有关法律、法规和条例，经竞争性</w:t>
      </w:r>
      <w:r>
        <w:rPr>
          <w:rFonts w:hint="eastAsia"/>
          <w:color w:val="auto"/>
          <w:sz w:val="21"/>
          <w:szCs w:val="21"/>
          <w:highlight w:val="none"/>
          <w:lang w:val="en-US" w:eastAsia="zh-CN"/>
        </w:rPr>
        <w:t>磋商</w:t>
      </w:r>
      <w:r>
        <w:rPr>
          <w:rFonts w:hint="eastAsia" w:ascii="宋体" w:hAnsi="宋体" w:eastAsia="宋体"/>
          <w:color w:val="auto"/>
          <w:sz w:val="21"/>
          <w:szCs w:val="21"/>
          <w:highlight w:val="none"/>
        </w:rPr>
        <w:t>程序确定乙方为“2025年西安市民宗委宗教管理信息系统建设项目”承建单位</w:t>
      </w:r>
      <w:r>
        <w:rPr>
          <w:rFonts w:hint="eastAsia"/>
          <w:color w:val="auto"/>
          <w:sz w:val="21"/>
          <w:szCs w:val="21"/>
          <w:highlight w:val="none"/>
          <w:lang w:eastAsia="zh-CN"/>
        </w:rPr>
        <w:t>，</w:t>
      </w:r>
      <w:r>
        <w:rPr>
          <w:rFonts w:hint="eastAsia"/>
          <w:color w:val="auto"/>
          <w:sz w:val="21"/>
          <w:szCs w:val="21"/>
          <w:highlight w:val="none"/>
          <w:lang w:val="en-US" w:eastAsia="zh-CN"/>
        </w:rPr>
        <w:t>甲乙</w:t>
      </w:r>
      <w:r>
        <w:rPr>
          <w:rFonts w:hint="eastAsia" w:ascii="宋体" w:hAnsi="宋体" w:eastAsia="宋体"/>
          <w:color w:val="auto"/>
          <w:sz w:val="21"/>
          <w:szCs w:val="21"/>
          <w:highlight w:val="none"/>
        </w:rPr>
        <w:t>双方</w:t>
      </w:r>
      <w:r>
        <w:rPr>
          <w:rFonts w:hint="eastAsia"/>
          <w:color w:val="auto"/>
          <w:sz w:val="21"/>
          <w:szCs w:val="21"/>
          <w:highlight w:val="none"/>
          <w:lang w:val="en-US" w:eastAsia="zh-CN"/>
        </w:rPr>
        <w:t>本着平等自愿、诚实信用的原则，就项目建设相关事宜</w:t>
      </w:r>
      <w:r>
        <w:rPr>
          <w:rFonts w:hint="eastAsia" w:ascii="宋体" w:hAnsi="宋体" w:eastAsia="宋体"/>
          <w:color w:val="auto"/>
          <w:sz w:val="21"/>
          <w:szCs w:val="21"/>
          <w:highlight w:val="none"/>
        </w:rPr>
        <w:t>友好协商一致，签订本合同</w:t>
      </w:r>
      <w:r>
        <w:rPr>
          <w:rFonts w:hint="eastAsia"/>
          <w:color w:val="auto"/>
          <w:sz w:val="21"/>
          <w:szCs w:val="21"/>
          <w:highlight w:val="none"/>
          <w:lang w:eastAsia="zh-CN"/>
        </w:rPr>
        <w:t>，以资共同信守</w:t>
      </w:r>
      <w:r>
        <w:rPr>
          <w:rFonts w:hint="eastAsia" w:ascii="宋体" w:hAnsi="宋体" w:eastAsia="宋体"/>
          <w:color w:val="auto"/>
          <w:sz w:val="21"/>
          <w:szCs w:val="21"/>
          <w:highlight w:val="none"/>
        </w:rPr>
        <w:t>。</w:t>
      </w:r>
    </w:p>
    <w:p w14:paraId="08484E06">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第一条：合同标的</w:t>
      </w:r>
      <w:r>
        <w:rPr>
          <w:rFonts w:ascii="宋体" w:hAnsi="宋体" w:eastAsia="宋体"/>
          <w:b/>
          <w:color w:val="auto"/>
          <w:sz w:val="21"/>
          <w:szCs w:val="21"/>
          <w:highlight w:val="none"/>
        </w:rPr>
        <w:t xml:space="preserve">   </w:t>
      </w:r>
    </w:p>
    <w:p w14:paraId="518CAE34">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乙方根据甲方需求完成完成宗教管理信息系统的定制开发、安装调试、数据迁移、人员培训、验收交付及售后服务等全部工作。系统核心功能应包括但不限于：宗教活动场所管理、宗教教职人员管理、宗教活动管理、数据统计分析、应急处置联动、政策法规推送等模块，确保满足甲方宗教事务管理的信息化、规范化需求。。</w:t>
      </w:r>
    </w:p>
    <w:p w14:paraId="6FB3162B">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本合同采购价款为人民币</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rPr>
        <w:t xml:space="preserve">     元</w:t>
      </w:r>
      <w:r>
        <w:rPr>
          <w:rFonts w:hint="eastAsia" w:ascii="宋体" w:hAnsi="宋体" w:eastAsia="宋体"/>
          <w:color w:val="auto"/>
          <w:sz w:val="21"/>
          <w:szCs w:val="21"/>
          <w:highlight w:val="none"/>
        </w:rPr>
        <w:t>（大写：    整）该总价为暂定价格。</w:t>
      </w:r>
    </w:p>
    <w:p w14:paraId="4A5CF8E2">
      <w:pPr>
        <w:spacing w:line="360" w:lineRule="auto"/>
        <w:ind w:firstLine="420" w:firstLineChars="200"/>
        <w:rPr>
          <w:rFonts w:hint="eastAsia" w:ascii="宋体" w:hAnsi="宋体" w:eastAsia="宋体" w:cs="宋体"/>
          <w:color w:val="auto"/>
          <w:sz w:val="21"/>
          <w:szCs w:val="21"/>
          <w:highlight w:val="none"/>
          <w:lang w:val="en-US" w:eastAsia="en-US" w:bidi="ar-SA"/>
        </w:rPr>
      </w:pPr>
      <w:r>
        <w:rPr>
          <w:rFonts w:hint="eastAsia" w:ascii="宋体" w:hAnsi="宋体" w:eastAsia="宋体"/>
          <w:bCs/>
          <w:color w:val="auto"/>
          <w:sz w:val="21"/>
          <w:szCs w:val="21"/>
          <w:highlight w:val="none"/>
        </w:rPr>
        <w:t>合同总价款包括</w:t>
      </w:r>
      <w:r>
        <w:rPr>
          <w:rFonts w:hint="eastAsia"/>
          <w:bCs/>
          <w:color w:val="auto"/>
          <w:sz w:val="21"/>
          <w:szCs w:val="21"/>
          <w:highlight w:val="none"/>
          <w:lang w:val="en-US" w:eastAsia="zh-CN"/>
        </w:rPr>
        <w:t>系统定制、</w:t>
      </w:r>
      <w:r>
        <w:rPr>
          <w:rFonts w:hint="eastAsia" w:ascii="宋体" w:hAnsi="宋体" w:eastAsia="宋体"/>
          <w:bCs/>
          <w:color w:val="auto"/>
          <w:sz w:val="21"/>
          <w:szCs w:val="21"/>
          <w:highlight w:val="none"/>
        </w:rPr>
        <w:t>安装调试费、技术服务费、培训费、验收费</w:t>
      </w:r>
      <w:r>
        <w:rPr>
          <w:rFonts w:hint="eastAsia"/>
          <w:bCs/>
          <w:color w:val="auto"/>
          <w:sz w:val="21"/>
          <w:szCs w:val="21"/>
          <w:highlight w:val="none"/>
          <w:lang w:eastAsia="zh-CN"/>
        </w:rPr>
        <w:t>、</w:t>
      </w:r>
      <w:r>
        <w:rPr>
          <w:rFonts w:hint="eastAsia"/>
          <w:bCs/>
          <w:color w:val="auto"/>
          <w:sz w:val="21"/>
          <w:szCs w:val="21"/>
          <w:highlight w:val="none"/>
          <w:lang w:val="en-US" w:eastAsia="zh-CN"/>
        </w:rPr>
        <w:t>人员工资社保、税费</w:t>
      </w:r>
      <w:r>
        <w:rPr>
          <w:rFonts w:hint="eastAsia" w:ascii="宋体" w:hAnsi="宋体" w:eastAsia="宋体"/>
          <w:bCs/>
          <w:color w:val="auto"/>
          <w:sz w:val="21"/>
          <w:szCs w:val="21"/>
          <w:highlight w:val="none"/>
        </w:rPr>
        <w:t>等乙方为履行本合同所支出的一切费用。</w:t>
      </w:r>
      <w:r>
        <w:rPr>
          <w:rFonts w:hint="eastAsia" w:ascii="宋体" w:hAnsi="宋体" w:eastAsia="宋体" w:cs="宋体"/>
          <w:color w:val="auto"/>
          <w:sz w:val="21"/>
          <w:szCs w:val="21"/>
          <w:highlight w:val="none"/>
          <w:lang w:val="en-US" w:eastAsia="en-US" w:bidi="ar-SA"/>
        </w:rPr>
        <w:t>合同总价</w:t>
      </w:r>
      <w:r>
        <w:rPr>
          <w:rFonts w:hint="eastAsia" w:ascii="宋体" w:hAnsi="宋体" w:eastAsia="宋体" w:cs="宋体"/>
          <w:color w:val="auto"/>
          <w:sz w:val="21"/>
          <w:szCs w:val="21"/>
          <w:highlight w:val="none"/>
          <w:lang w:val="en-US" w:eastAsia="zh-CN" w:bidi="ar-SA"/>
        </w:rPr>
        <w:t>为暂定总价，最终合同金额以甲方委托的第三方审计</w:t>
      </w:r>
      <w:r>
        <w:rPr>
          <w:rFonts w:hint="eastAsia" w:cs="宋体"/>
          <w:color w:val="auto"/>
          <w:sz w:val="21"/>
          <w:szCs w:val="21"/>
          <w:highlight w:val="none"/>
          <w:lang w:val="en-US" w:eastAsia="zh-CN" w:bidi="ar-SA"/>
        </w:rPr>
        <w:t>机构出具</w:t>
      </w:r>
      <w:r>
        <w:rPr>
          <w:rFonts w:hint="eastAsia" w:ascii="宋体" w:hAnsi="宋体" w:eastAsia="宋体" w:cs="宋体"/>
          <w:color w:val="auto"/>
          <w:sz w:val="21"/>
          <w:szCs w:val="21"/>
          <w:highlight w:val="none"/>
          <w:lang w:val="en-US" w:eastAsia="zh-CN" w:bidi="ar-SA"/>
        </w:rPr>
        <w:t>的</w:t>
      </w:r>
      <w:r>
        <w:rPr>
          <w:rFonts w:hint="eastAsia" w:cs="宋体"/>
          <w:color w:val="auto"/>
          <w:sz w:val="21"/>
          <w:szCs w:val="21"/>
          <w:highlight w:val="none"/>
          <w:lang w:val="en-US" w:eastAsia="zh-CN" w:bidi="ar-SA"/>
        </w:rPr>
        <w:t>审计报告</w:t>
      </w:r>
      <w:r>
        <w:rPr>
          <w:rFonts w:hint="eastAsia" w:ascii="宋体" w:hAnsi="宋体" w:eastAsia="宋体" w:cs="宋体"/>
          <w:color w:val="auto"/>
          <w:sz w:val="21"/>
          <w:szCs w:val="21"/>
          <w:highlight w:val="none"/>
          <w:lang w:val="en-US" w:eastAsia="zh-CN" w:bidi="ar-SA"/>
        </w:rPr>
        <w:t>为准</w:t>
      </w:r>
      <w:r>
        <w:rPr>
          <w:rFonts w:hint="eastAsia" w:ascii="宋体" w:hAnsi="宋体" w:eastAsia="宋体" w:cs="宋体"/>
          <w:color w:val="auto"/>
          <w:sz w:val="21"/>
          <w:szCs w:val="21"/>
          <w:highlight w:val="none"/>
          <w:lang w:val="en-US" w:eastAsia="en-US" w:bidi="ar-SA"/>
        </w:rPr>
        <w:t>。</w:t>
      </w:r>
    </w:p>
    <w:p w14:paraId="45965DF3">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第二条</w:t>
      </w:r>
      <w:r>
        <w:rPr>
          <w:rFonts w:ascii="宋体" w:hAnsi="宋体" w:eastAsia="宋体"/>
          <w:b/>
          <w:color w:val="auto"/>
          <w:sz w:val="21"/>
          <w:szCs w:val="21"/>
          <w:highlight w:val="none"/>
        </w:rPr>
        <w:t xml:space="preserve">  </w:t>
      </w:r>
      <w:r>
        <w:rPr>
          <w:rFonts w:hint="eastAsia" w:ascii="宋体" w:hAnsi="宋体" w:eastAsia="宋体"/>
          <w:b/>
          <w:color w:val="auto"/>
          <w:sz w:val="21"/>
          <w:szCs w:val="21"/>
          <w:highlight w:val="none"/>
        </w:rPr>
        <w:t>权利保证</w:t>
      </w:r>
      <w:bookmarkStart w:id="1" w:name="_GoBack"/>
      <w:bookmarkEnd w:id="1"/>
    </w:p>
    <w:p w14:paraId="4177B871">
      <w:pPr>
        <w:spacing w:line="360" w:lineRule="auto"/>
        <w:ind w:firstLine="56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乙方应保证甲方该信息系统项目建设、运行</w:t>
      </w:r>
      <w:r>
        <w:rPr>
          <w:rFonts w:hint="eastAsia"/>
          <w:color w:val="auto"/>
          <w:sz w:val="21"/>
          <w:szCs w:val="21"/>
          <w:highlight w:val="none"/>
          <w:lang w:eastAsia="zh-CN"/>
        </w:rPr>
        <w:t>，</w:t>
      </w:r>
      <w:r>
        <w:rPr>
          <w:rFonts w:hint="eastAsia"/>
          <w:color w:val="auto"/>
          <w:sz w:val="21"/>
          <w:szCs w:val="21"/>
          <w:highlight w:val="none"/>
          <w:lang w:val="en-US" w:eastAsia="zh-CN"/>
        </w:rPr>
        <w:t>系统软件、硬件及相关服务</w:t>
      </w:r>
      <w:r>
        <w:rPr>
          <w:rFonts w:hint="eastAsia" w:ascii="宋体" w:hAnsi="宋体" w:eastAsia="宋体"/>
          <w:color w:val="auto"/>
          <w:sz w:val="21"/>
          <w:szCs w:val="21"/>
          <w:highlight w:val="none"/>
        </w:rPr>
        <w:t>不侵犯</w:t>
      </w:r>
      <w:r>
        <w:rPr>
          <w:rFonts w:hint="eastAsia" w:ascii="宋体" w:hAnsi="宋体" w:eastAsia="宋体"/>
          <w:color w:val="auto"/>
          <w:sz w:val="21"/>
          <w:szCs w:val="21"/>
          <w:highlight w:val="none"/>
          <w:lang w:val="en-US" w:eastAsia="zh-CN"/>
        </w:rPr>
        <w:t>任何</w:t>
      </w:r>
      <w:r>
        <w:rPr>
          <w:rFonts w:hint="eastAsia" w:ascii="宋体" w:hAnsi="宋体" w:eastAsia="宋体"/>
          <w:color w:val="auto"/>
          <w:sz w:val="21"/>
          <w:szCs w:val="21"/>
          <w:highlight w:val="none"/>
        </w:rPr>
        <w:t>第三方</w:t>
      </w:r>
      <w:r>
        <w:rPr>
          <w:rFonts w:hint="eastAsia"/>
          <w:color w:val="auto"/>
          <w:sz w:val="21"/>
          <w:szCs w:val="21"/>
          <w:highlight w:val="none"/>
          <w:lang w:val="en-US" w:eastAsia="zh-CN"/>
        </w:rPr>
        <w:t>的</w:t>
      </w:r>
      <w:r>
        <w:rPr>
          <w:rFonts w:hint="eastAsia" w:ascii="宋体" w:hAnsi="宋体" w:eastAsia="宋体"/>
          <w:color w:val="auto"/>
          <w:sz w:val="21"/>
          <w:szCs w:val="21"/>
          <w:highlight w:val="none"/>
        </w:rPr>
        <w:t>专利权、版权、商标权</w:t>
      </w:r>
      <w:r>
        <w:rPr>
          <w:rFonts w:hint="eastAsia"/>
          <w:color w:val="auto"/>
          <w:sz w:val="21"/>
          <w:szCs w:val="21"/>
          <w:highlight w:val="none"/>
          <w:lang w:eastAsia="zh-CN"/>
        </w:rPr>
        <w:t>、</w:t>
      </w:r>
      <w:r>
        <w:rPr>
          <w:rFonts w:hint="eastAsia"/>
          <w:color w:val="auto"/>
          <w:sz w:val="21"/>
          <w:szCs w:val="21"/>
          <w:highlight w:val="none"/>
          <w:lang w:val="en-US" w:eastAsia="zh-CN"/>
        </w:rPr>
        <w:t>商业秘密</w:t>
      </w:r>
      <w:r>
        <w:rPr>
          <w:rFonts w:hint="eastAsia" w:ascii="宋体" w:hAnsi="宋体" w:eastAsia="宋体"/>
          <w:color w:val="auto"/>
          <w:sz w:val="21"/>
          <w:szCs w:val="21"/>
          <w:highlight w:val="none"/>
        </w:rPr>
        <w:t>或其他权利</w:t>
      </w:r>
      <w:r>
        <w:rPr>
          <w:rFonts w:hint="eastAsia"/>
          <w:color w:val="auto"/>
          <w:sz w:val="21"/>
          <w:szCs w:val="21"/>
          <w:highlight w:val="none"/>
          <w:lang w:val="en-US" w:eastAsia="zh-CN"/>
        </w:rPr>
        <w:t>等知识产权。若发生第三方侵权投诉或</w:t>
      </w:r>
      <w:r>
        <w:rPr>
          <w:rFonts w:hint="eastAsia" w:ascii="宋体" w:hAnsi="宋体" w:eastAsia="宋体"/>
          <w:color w:val="auto"/>
          <w:sz w:val="21"/>
          <w:szCs w:val="21"/>
          <w:highlight w:val="none"/>
        </w:rPr>
        <w:t>起诉。乙方应承担全部责任</w:t>
      </w:r>
      <w:r>
        <w:rPr>
          <w:rFonts w:hint="eastAsia"/>
          <w:color w:val="auto"/>
          <w:sz w:val="21"/>
          <w:szCs w:val="21"/>
          <w:highlight w:val="none"/>
          <w:lang w:eastAsia="zh-CN"/>
        </w:rPr>
        <w:t>，包括但不限于侵权赔偿、</w:t>
      </w:r>
      <w:r>
        <w:rPr>
          <w:rFonts w:hint="eastAsia"/>
          <w:color w:val="auto"/>
          <w:sz w:val="21"/>
          <w:szCs w:val="21"/>
          <w:highlight w:val="none"/>
          <w:lang w:val="en-US" w:eastAsia="zh-CN"/>
        </w:rPr>
        <w:t>律师费、保全费、</w:t>
      </w:r>
      <w:r>
        <w:rPr>
          <w:rFonts w:hint="eastAsia"/>
          <w:color w:val="auto"/>
          <w:sz w:val="21"/>
          <w:szCs w:val="21"/>
          <w:highlight w:val="none"/>
          <w:lang w:eastAsia="zh-CN"/>
        </w:rPr>
        <w:t>诉讼费等</w:t>
      </w:r>
      <w:r>
        <w:rPr>
          <w:rFonts w:hint="eastAsia" w:ascii="宋体" w:hAnsi="宋体" w:eastAsia="宋体"/>
          <w:color w:val="auto"/>
          <w:sz w:val="21"/>
          <w:szCs w:val="21"/>
          <w:highlight w:val="none"/>
        </w:rPr>
        <w:t>。给甲方造成损失的，甲方有权向乙方进行追偿。</w:t>
      </w:r>
    </w:p>
    <w:p w14:paraId="78DD2AA4">
      <w:pPr>
        <w:spacing w:line="360" w:lineRule="auto"/>
        <w:ind w:firstLine="56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乙方承诺本项目建设及运行严格遵守《宗教事务条例》《网络安全法》《数据安全法》等相关法律法规，确保系统符合宗教事务管理的政策要求，不涉及任何违法违规内容。乙方须配合甲方完成项目相关的合规性审查及备案工作。</w:t>
      </w:r>
    </w:p>
    <w:p w14:paraId="77D5A463">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第三条</w:t>
      </w:r>
      <w:r>
        <w:rPr>
          <w:rFonts w:ascii="宋体" w:hAnsi="宋体" w:eastAsia="宋体"/>
          <w:b/>
          <w:color w:val="auto"/>
          <w:sz w:val="21"/>
          <w:szCs w:val="21"/>
          <w:highlight w:val="none"/>
        </w:rPr>
        <w:t xml:space="preserve">  </w:t>
      </w:r>
      <w:r>
        <w:rPr>
          <w:rFonts w:hint="eastAsia" w:ascii="宋体" w:hAnsi="宋体" w:eastAsia="宋体"/>
          <w:b/>
          <w:color w:val="auto"/>
          <w:sz w:val="21"/>
          <w:szCs w:val="21"/>
          <w:highlight w:val="none"/>
        </w:rPr>
        <w:t>交付</w:t>
      </w:r>
      <w:r>
        <w:rPr>
          <w:rFonts w:hint="eastAsia"/>
          <w:b/>
          <w:color w:val="auto"/>
          <w:sz w:val="21"/>
          <w:szCs w:val="21"/>
          <w:highlight w:val="none"/>
          <w:lang w:eastAsia="zh-CN"/>
        </w:rPr>
        <w:t>、</w:t>
      </w:r>
      <w:r>
        <w:rPr>
          <w:rFonts w:hint="eastAsia"/>
          <w:b/>
          <w:color w:val="auto"/>
          <w:sz w:val="21"/>
          <w:szCs w:val="21"/>
          <w:highlight w:val="none"/>
          <w:lang w:val="en-US" w:eastAsia="zh-CN"/>
        </w:rPr>
        <w:t>维保</w:t>
      </w:r>
      <w:r>
        <w:rPr>
          <w:rFonts w:hint="eastAsia" w:ascii="宋体" w:hAnsi="宋体" w:eastAsia="宋体"/>
          <w:b/>
          <w:color w:val="auto"/>
          <w:sz w:val="21"/>
          <w:szCs w:val="21"/>
          <w:highlight w:val="none"/>
        </w:rPr>
        <w:t>及验收</w:t>
      </w:r>
    </w:p>
    <w:p w14:paraId="5D30781D">
      <w:pPr>
        <w:tabs>
          <w:tab w:val="left" w:pos="180"/>
        </w:tabs>
        <w:spacing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1.项目</w:t>
      </w:r>
      <w:r>
        <w:rPr>
          <w:rFonts w:hint="eastAsia"/>
          <w:color w:val="auto"/>
          <w:sz w:val="21"/>
          <w:szCs w:val="21"/>
          <w:highlight w:val="none"/>
          <w:lang w:val="en-US" w:eastAsia="zh-CN"/>
        </w:rPr>
        <w:t>建设周期</w:t>
      </w:r>
      <w:r>
        <w:rPr>
          <w:rFonts w:hint="eastAsia" w:ascii="宋体" w:hAnsi="宋体" w:eastAsia="宋体"/>
          <w:color w:val="auto"/>
          <w:sz w:val="21"/>
          <w:szCs w:val="21"/>
          <w:highlight w:val="none"/>
        </w:rPr>
        <w:t>：</w:t>
      </w:r>
      <w:r>
        <w:rPr>
          <w:rFonts w:hint="eastAsia"/>
          <w:color w:val="auto"/>
          <w:sz w:val="21"/>
          <w:szCs w:val="21"/>
          <w:highlight w:val="none"/>
          <w:u w:val="single"/>
          <w:lang w:val="en-US" w:eastAsia="zh-CN"/>
        </w:rPr>
        <w:t xml:space="preserve">                          </w:t>
      </w:r>
      <w:r>
        <w:rPr>
          <w:rFonts w:hint="eastAsia" w:ascii="宋体" w:hAnsi="宋体" w:eastAsia="宋体"/>
          <w:color w:val="auto"/>
          <w:sz w:val="21"/>
          <w:szCs w:val="21"/>
          <w:highlight w:val="none"/>
        </w:rPr>
        <w:t>。</w:t>
      </w:r>
    </w:p>
    <w:p w14:paraId="472DB420">
      <w:pPr>
        <w:tabs>
          <w:tab w:val="left" w:pos="180"/>
        </w:tabs>
        <w:spacing w:line="360" w:lineRule="auto"/>
        <w:ind w:firstLine="420" w:firstLineChars="200"/>
        <w:rPr>
          <w:rFonts w:hint="default" w:ascii="宋体" w:hAnsi="宋体" w:eastAsia="宋体"/>
          <w:color w:val="auto"/>
          <w:sz w:val="21"/>
          <w:szCs w:val="21"/>
          <w:highlight w:val="none"/>
          <w:lang w:val="en-US" w:eastAsia="zh-CN"/>
        </w:rPr>
      </w:pPr>
      <w:r>
        <w:rPr>
          <w:rFonts w:hint="eastAsia"/>
          <w:color w:val="auto"/>
          <w:sz w:val="21"/>
          <w:szCs w:val="21"/>
          <w:highlight w:val="none"/>
          <w:lang w:val="en-US" w:eastAsia="zh-CN"/>
        </w:rPr>
        <w:t>2.交付内容：乙方须向甲方交付完整的系统软硬件（含源代码及授权文件）、技术文档（含需求说明书、设计方案、测试报告、操作手册、维护手册等，均为中文版本）、数据迁移报告及验收申请材料。</w:t>
      </w:r>
    </w:p>
    <w:p w14:paraId="3A77F081">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3.项目验收包括初步验收、试运行验收和竣工验收三个阶段：</w:t>
      </w:r>
    </w:p>
    <w:p w14:paraId="28D31F27">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（1）初步验收：系统开发完成后，乙方提交验收申请，甲方在10个工作日内组织验收，重点核查系统功能是否符合需求说明书要求、文档是否完整；</w:t>
      </w:r>
    </w:p>
    <w:p w14:paraId="3AF9E9A6">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（2）试运行验收：初步验收合格后进入试运行阶段，试运行期为30个日历日，试运行结束后乙方提交试运行报告，甲方在5个工作日内验收，重点核查系统运行稳定性、数据准确性；</w:t>
      </w:r>
    </w:p>
    <w:p w14:paraId="2461E765">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3）竣工验收：试运行验收合格后，乙方提交竣工验收申请及完整资料，甲方在15个工作日内组织验收，验收组成员由甲方相关业务科室、技术人员及第三方专家组成，验收标准参照《西安市信息化项目验收实施细则（试行）》</w:t>
      </w:r>
    </w:p>
    <w:p w14:paraId="4BFADFFA">
      <w:pPr>
        <w:spacing w:line="360" w:lineRule="auto"/>
        <w:ind w:firstLine="420" w:firstLineChars="200"/>
        <w:rPr>
          <w:rFonts w:ascii="宋体" w:hAnsi="宋体" w:eastAsia="宋体"/>
          <w:color w:val="auto"/>
          <w:sz w:val="21"/>
          <w:szCs w:val="21"/>
          <w:highlight w:val="none"/>
        </w:rPr>
      </w:pPr>
      <w:r>
        <w:rPr>
          <w:rFonts w:hint="eastAsia"/>
          <w:color w:val="auto"/>
          <w:sz w:val="21"/>
          <w:szCs w:val="21"/>
          <w:highlight w:val="none"/>
          <w:lang w:val="en-US" w:eastAsia="zh-CN"/>
        </w:rPr>
        <w:t>4</w:t>
      </w:r>
      <w:r>
        <w:rPr>
          <w:rFonts w:hint="eastAsia" w:ascii="宋体" w:hAnsi="宋体" w:eastAsia="宋体"/>
          <w:color w:val="auto"/>
          <w:sz w:val="21"/>
          <w:szCs w:val="21"/>
          <w:highlight w:val="none"/>
        </w:rPr>
        <w:t>.验收地点：甲方指定所在地。</w:t>
      </w:r>
    </w:p>
    <w:p w14:paraId="735D3F4E">
      <w:pPr>
        <w:spacing w:line="360" w:lineRule="auto"/>
        <w:ind w:firstLine="420" w:firstLineChars="200"/>
        <w:rPr>
          <w:rFonts w:ascii="宋体" w:hAnsi="宋体" w:eastAsia="宋体"/>
          <w:color w:val="auto"/>
          <w:sz w:val="21"/>
          <w:szCs w:val="21"/>
          <w:highlight w:val="none"/>
        </w:rPr>
      </w:pPr>
      <w:r>
        <w:rPr>
          <w:rFonts w:hint="eastAsia"/>
          <w:color w:val="auto"/>
          <w:sz w:val="21"/>
          <w:szCs w:val="21"/>
          <w:highlight w:val="none"/>
          <w:lang w:val="en-US" w:eastAsia="zh-CN"/>
        </w:rPr>
        <w:t>5</w:t>
      </w:r>
      <w:r>
        <w:rPr>
          <w:rFonts w:hint="eastAsia" w:ascii="宋体" w:hAnsi="宋体" w:eastAsia="宋体"/>
          <w:color w:val="auto"/>
          <w:sz w:val="21"/>
          <w:szCs w:val="21"/>
          <w:highlight w:val="none"/>
        </w:rPr>
        <w:t>.</w:t>
      </w:r>
      <w:r>
        <w:rPr>
          <w:rFonts w:hint="eastAsia" w:ascii="宋体" w:hAnsi="宋体" w:eastAsia="宋体"/>
          <w:color w:val="auto"/>
          <w:spacing w:val="-6"/>
          <w:sz w:val="21"/>
          <w:szCs w:val="21"/>
          <w:highlight w:val="none"/>
        </w:rPr>
        <w:t>验收方法：甲乙双方共同检查项目具体功能是否</w:t>
      </w:r>
      <w:r>
        <w:rPr>
          <w:rFonts w:hint="eastAsia"/>
          <w:color w:val="auto"/>
          <w:spacing w:val="-6"/>
          <w:sz w:val="21"/>
          <w:szCs w:val="21"/>
          <w:highlight w:val="none"/>
          <w:lang w:val="en-US" w:eastAsia="zh-CN"/>
        </w:rPr>
        <w:t>符合该阶段</w:t>
      </w:r>
      <w:r>
        <w:rPr>
          <w:rFonts w:hint="eastAsia" w:ascii="宋体" w:hAnsi="宋体" w:eastAsia="宋体"/>
          <w:color w:val="auto"/>
          <w:spacing w:val="-6"/>
          <w:sz w:val="21"/>
          <w:szCs w:val="21"/>
          <w:highlight w:val="none"/>
        </w:rPr>
        <w:t>建设目标，经甲方验收合格后填写</w:t>
      </w:r>
      <w:r>
        <w:rPr>
          <w:rFonts w:hint="eastAsia"/>
          <w:color w:val="auto"/>
          <w:spacing w:val="-6"/>
          <w:sz w:val="21"/>
          <w:szCs w:val="21"/>
          <w:highlight w:val="none"/>
          <w:lang w:eastAsia="zh-CN"/>
        </w:rPr>
        <w:t>《</w:t>
      </w:r>
      <w:r>
        <w:rPr>
          <w:rFonts w:hint="eastAsia"/>
          <w:color w:val="auto"/>
          <w:spacing w:val="-6"/>
          <w:sz w:val="21"/>
          <w:szCs w:val="21"/>
          <w:highlight w:val="none"/>
          <w:lang w:val="en-US" w:eastAsia="zh-CN"/>
        </w:rPr>
        <w:t>项目</w:t>
      </w:r>
      <w:r>
        <w:rPr>
          <w:rFonts w:hint="eastAsia" w:ascii="宋体" w:hAnsi="宋体" w:eastAsia="宋体"/>
          <w:color w:val="auto"/>
          <w:spacing w:val="-6"/>
          <w:sz w:val="21"/>
          <w:szCs w:val="21"/>
          <w:highlight w:val="none"/>
        </w:rPr>
        <w:t>验收单</w:t>
      </w:r>
      <w:r>
        <w:rPr>
          <w:rFonts w:hint="eastAsia"/>
          <w:color w:val="auto"/>
          <w:spacing w:val="-6"/>
          <w:sz w:val="21"/>
          <w:szCs w:val="21"/>
          <w:highlight w:val="none"/>
          <w:lang w:eastAsia="zh-CN"/>
        </w:rPr>
        <w:t>》</w:t>
      </w:r>
      <w:r>
        <w:rPr>
          <w:rFonts w:hint="eastAsia"/>
          <w:color w:val="auto"/>
          <w:sz w:val="21"/>
          <w:szCs w:val="21"/>
          <w:highlight w:val="none"/>
          <w:lang w:eastAsia="zh-CN"/>
        </w:rPr>
        <w:t>（</w:t>
      </w:r>
      <w:r>
        <w:rPr>
          <w:rFonts w:hint="eastAsia"/>
          <w:color w:val="auto"/>
          <w:sz w:val="21"/>
          <w:szCs w:val="21"/>
          <w:highlight w:val="none"/>
          <w:lang w:val="en-US" w:eastAsia="zh-CN"/>
        </w:rPr>
        <w:t>详见西安市信息化项目验收实施细则（试行）</w:t>
      </w:r>
      <w:r>
        <w:rPr>
          <w:rFonts w:hint="eastAsia"/>
          <w:color w:val="auto"/>
          <w:sz w:val="21"/>
          <w:szCs w:val="21"/>
          <w:highlight w:val="none"/>
          <w:lang w:eastAsia="zh-CN"/>
        </w:rPr>
        <w:t>），验收不合格的，乙方须在甲方提出的整改期限内完成整改，直至验收合格。</w:t>
      </w:r>
      <w:r>
        <w:rPr>
          <w:rFonts w:hint="eastAsia" w:ascii="宋体" w:hAnsi="宋体" w:eastAsia="宋体"/>
          <w:color w:val="auto"/>
          <w:sz w:val="21"/>
          <w:szCs w:val="21"/>
          <w:highlight w:val="none"/>
        </w:rPr>
        <w:t>。</w:t>
      </w:r>
    </w:p>
    <w:p w14:paraId="045484BF">
      <w:pPr>
        <w:spacing w:line="360" w:lineRule="auto"/>
        <w:ind w:firstLine="420" w:firstLineChars="200"/>
        <w:rPr>
          <w:rFonts w:ascii="宋体" w:hAnsi="宋体" w:eastAsia="宋体"/>
          <w:color w:val="auto"/>
          <w:sz w:val="21"/>
          <w:szCs w:val="21"/>
          <w:highlight w:val="none"/>
        </w:rPr>
      </w:pPr>
      <w:r>
        <w:rPr>
          <w:rFonts w:hint="eastAsia"/>
          <w:color w:val="auto"/>
          <w:sz w:val="21"/>
          <w:szCs w:val="21"/>
          <w:highlight w:val="none"/>
          <w:lang w:val="en-US" w:eastAsia="zh-CN"/>
        </w:rPr>
        <w:t>6</w:t>
      </w:r>
      <w:r>
        <w:rPr>
          <w:rFonts w:hint="eastAsia" w:ascii="宋体" w:hAnsi="宋体" w:eastAsia="宋体"/>
          <w:color w:val="auto"/>
          <w:sz w:val="21"/>
          <w:szCs w:val="21"/>
          <w:highlight w:val="none"/>
        </w:rPr>
        <w:t>.</w:t>
      </w:r>
      <w:r>
        <w:rPr>
          <w:rFonts w:ascii="宋体" w:hAnsi="宋体" w:eastAsia="宋体"/>
          <w:color w:val="auto"/>
          <w:sz w:val="21"/>
          <w:szCs w:val="21"/>
          <w:highlight w:val="none"/>
        </w:rPr>
        <w:t>乙方向甲方提交</w:t>
      </w:r>
      <w:r>
        <w:rPr>
          <w:rFonts w:hint="eastAsia" w:ascii="宋体" w:hAnsi="宋体" w:eastAsia="宋体"/>
          <w:color w:val="auto"/>
          <w:sz w:val="21"/>
          <w:szCs w:val="21"/>
          <w:highlight w:val="none"/>
        </w:rPr>
        <w:t>产品和服务</w:t>
      </w:r>
      <w:r>
        <w:rPr>
          <w:rFonts w:ascii="宋体" w:hAnsi="宋体" w:eastAsia="宋体"/>
          <w:color w:val="auto"/>
          <w:sz w:val="21"/>
          <w:szCs w:val="21"/>
          <w:highlight w:val="none"/>
        </w:rPr>
        <w:t>实施过程中的所有资料，</w:t>
      </w:r>
      <w:r>
        <w:rPr>
          <w:rFonts w:hint="eastAsia" w:ascii="宋体" w:hAnsi="宋体" w:eastAsia="宋体"/>
          <w:color w:val="auto"/>
          <w:sz w:val="21"/>
          <w:szCs w:val="21"/>
          <w:highlight w:val="none"/>
        </w:rPr>
        <w:t>包括：</w:t>
      </w:r>
    </w:p>
    <w:p w14:paraId="50CD147D">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w:t>
      </w:r>
      <w:r>
        <w:rPr>
          <w:rFonts w:ascii="宋体" w:hAnsi="宋体" w:eastAsia="宋体"/>
          <w:color w:val="auto"/>
          <w:sz w:val="21"/>
          <w:szCs w:val="21"/>
          <w:highlight w:val="none"/>
        </w:rPr>
        <w:t>1</w:t>
      </w:r>
      <w:r>
        <w:rPr>
          <w:rFonts w:hint="eastAsia" w:ascii="宋体" w:hAnsi="宋体" w:eastAsia="宋体"/>
          <w:color w:val="auto"/>
          <w:sz w:val="21"/>
          <w:szCs w:val="21"/>
          <w:highlight w:val="none"/>
        </w:rPr>
        <w:t>）使用手册、维护手册（中文）；</w:t>
      </w:r>
    </w:p>
    <w:p w14:paraId="20B5D418">
      <w:pPr>
        <w:spacing w:line="360" w:lineRule="auto"/>
        <w:ind w:firstLine="420" w:firstLineChars="200"/>
        <w:rPr>
          <w:rFonts w:hint="eastAsia" w:ascii="宋体" w:hAnsi="宋体" w:eastAsia="宋体"/>
          <w:color w:val="auto"/>
          <w:sz w:val="21"/>
          <w:szCs w:val="21"/>
          <w:highlight w:val="none"/>
          <w:lang w:eastAsia="zh-CN"/>
        </w:rPr>
      </w:pPr>
      <w:r>
        <w:rPr>
          <w:rFonts w:hint="eastAsia" w:ascii="宋体" w:hAnsi="宋体" w:eastAsia="宋体"/>
          <w:color w:val="auto"/>
          <w:sz w:val="21"/>
          <w:szCs w:val="21"/>
          <w:highlight w:val="none"/>
        </w:rPr>
        <w:t>（</w:t>
      </w:r>
      <w:r>
        <w:rPr>
          <w:rFonts w:ascii="宋体" w:hAnsi="宋体" w:eastAsia="宋体"/>
          <w:color w:val="auto"/>
          <w:sz w:val="21"/>
          <w:szCs w:val="21"/>
          <w:highlight w:val="none"/>
        </w:rPr>
        <w:t>2</w:t>
      </w:r>
      <w:r>
        <w:rPr>
          <w:rFonts w:hint="eastAsia" w:ascii="宋体" w:hAnsi="宋体" w:eastAsia="宋体"/>
          <w:color w:val="auto"/>
          <w:sz w:val="21"/>
          <w:szCs w:val="21"/>
          <w:highlight w:val="none"/>
        </w:rPr>
        <w:t>）其他资料：【    】</w:t>
      </w:r>
      <w:r>
        <w:rPr>
          <w:rFonts w:hint="eastAsia"/>
          <w:color w:val="auto"/>
          <w:sz w:val="21"/>
          <w:szCs w:val="21"/>
          <w:highlight w:val="none"/>
          <w:lang w:eastAsia="zh-CN"/>
        </w:rPr>
        <w:t>。</w:t>
      </w:r>
    </w:p>
    <w:p w14:paraId="0AB8269E">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 xml:space="preserve">第四条 </w:t>
      </w:r>
      <w:r>
        <w:rPr>
          <w:rFonts w:ascii="宋体" w:hAnsi="宋体" w:eastAsia="宋体"/>
          <w:b/>
          <w:color w:val="auto"/>
          <w:sz w:val="21"/>
          <w:szCs w:val="21"/>
          <w:highlight w:val="none"/>
        </w:rPr>
        <w:t xml:space="preserve"> </w:t>
      </w:r>
      <w:r>
        <w:rPr>
          <w:rFonts w:hint="eastAsia" w:ascii="宋体" w:hAnsi="宋体" w:eastAsia="宋体"/>
          <w:b/>
          <w:color w:val="auto"/>
          <w:sz w:val="21"/>
          <w:szCs w:val="21"/>
          <w:highlight w:val="none"/>
        </w:rPr>
        <w:t>费用及支付</w:t>
      </w:r>
    </w:p>
    <w:p w14:paraId="78D09423">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1．支付方式：银行转账，乙方须向甲方提供合法有效的增值税专用发票，发票信息须与合同约定一致；乙方保证其提供的账号准确无误，若在合同履行期间发生变更，乙方需</w:t>
      </w:r>
      <w:r>
        <w:rPr>
          <w:rFonts w:hint="eastAsia"/>
          <w:color w:val="auto"/>
          <w:sz w:val="21"/>
          <w:szCs w:val="21"/>
          <w:highlight w:val="none"/>
          <w:lang w:val="en-US" w:eastAsia="zh-CN"/>
        </w:rPr>
        <w:t>提前15个工作日</w:t>
      </w:r>
      <w:r>
        <w:rPr>
          <w:rFonts w:hint="eastAsia" w:ascii="宋体" w:hAnsi="宋体" w:eastAsia="宋体"/>
          <w:color w:val="auto"/>
          <w:sz w:val="21"/>
          <w:szCs w:val="21"/>
          <w:highlight w:val="none"/>
        </w:rPr>
        <w:t>书面通知甲方</w:t>
      </w:r>
      <w:r>
        <w:rPr>
          <w:rFonts w:hint="eastAsia"/>
          <w:color w:val="auto"/>
          <w:sz w:val="21"/>
          <w:szCs w:val="21"/>
          <w:highlight w:val="none"/>
          <w:lang w:val="en-US" w:eastAsia="zh-CN"/>
        </w:rPr>
        <w:t>并附相关证明</w:t>
      </w:r>
      <w:r>
        <w:rPr>
          <w:rFonts w:hint="eastAsia" w:ascii="宋体" w:hAnsi="宋体" w:eastAsia="宋体"/>
          <w:color w:val="auto"/>
          <w:sz w:val="21"/>
          <w:szCs w:val="21"/>
          <w:highlight w:val="none"/>
        </w:rPr>
        <w:t>，否则由此产生的后果由乙方承担，甲方向乙方提供的账号转账视为完成付款义务。</w:t>
      </w:r>
    </w:p>
    <w:p w14:paraId="5AE3561C">
      <w:pPr>
        <w:spacing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2．结算方式：</w:t>
      </w:r>
    </w:p>
    <w:p w14:paraId="71B69C34">
      <w:pPr>
        <w:spacing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甲方应</w:t>
      </w:r>
      <w:r>
        <w:rPr>
          <w:rFonts w:hint="eastAsia"/>
          <w:color w:val="auto"/>
          <w:sz w:val="21"/>
          <w:szCs w:val="21"/>
          <w:highlight w:val="none"/>
          <w:lang w:val="en-US" w:eastAsia="zh-CN"/>
        </w:rPr>
        <w:t>在合同签订后10个工作日</w:t>
      </w:r>
      <w:r>
        <w:rPr>
          <w:rFonts w:hint="eastAsia" w:ascii="宋体" w:hAnsi="宋体" w:eastAsia="宋体"/>
          <w:color w:val="auto"/>
          <w:sz w:val="21"/>
          <w:szCs w:val="21"/>
          <w:highlight w:val="none"/>
        </w:rPr>
        <w:t>内支付</w:t>
      </w:r>
      <w:r>
        <w:rPr>
          <w:rFonts w:hint="eastAsia"/>
          <w:color w:val="auto"/>
          <w:sz w:val="21"/>
          <w:szCs w:val="21"/>
          <w:highlight w:val="none"/>
          <w:lang w:val="en-US" w:eastAsia="zh-CN"/>
        </w:rPr>
        <w:t>预付款</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 xml:space="preserve">元（大写：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元整），乙方</w:t>
      </w:r>
      <w:r>
        <w:rPr>
          <w:rFonts w:hint="eastAsia"/>
          <w:color w:val="auto"/>
          <w:sz w:val="21"/>
          <w:szCs w:val="21"/>
          <w:highlight w:val="none"/>
          <w:lang w:val="en-US" w:eastAsia="zh-CN"/>
        </w:rPr>
        <w:t>须先</w:t>
      </w:r>
      <w:r>
        <w:rPr>
          <w:rFonts w:hint="eastAsia" w:ascii="宋体" w:hAnsi="宋体" w:eastAsia="宋体"/>
          <w:color w:val="auto"/>
          <w:sz w:val="21"/>
          <w:szCs w:val="21"/>
          <w:highlight w:val="none"/>
        </w:rPr>
        <w:t>开具</w:t>
      </w:r>
      <w:r>
        <w:rPr>
          <w:rFonts w:hint="eastAsia"/>
          <w:color w:val="auto"/>
          <w:sz w:val="21"/>
          <w:szCs w:val="21"/>
          <w:highlight w:val="none"/>
          <w:lang w:val="en-US" w:eastAsia="zh-CN"/>
        </w:rPr>
        <w:t>等额</w:t>
      </w:r>
      <w:r>
        <w:rPr>
          <w:rFonts w:hint="eastAsia" w:ascii="宋体" w:hAnsi="宋体" w:eastAsia="宋体"/>
          <w:color w:val="auto"/>
          <w:sz w:val="21"/>
          <w:szCs w:val="21"/>
          <w:highlight w:val="none"/>
        </w:rPr>
        <w:t>合同价款的发票；</w:t>
      </w:r>
    </w:p>
    <w:p w14:paraId="2D8BC2F1">
      <w:pPr>
        <w:spacing w:line="360" w:lineRule="auto"/>
        <w:ind w:firstLine="420" w:firstLineChars="200"/>
        <w:rPr>
          <w:rFonts w:hint="eastAsia" w:ascii="宋体" w:hAnsi="宋体" w:eastAsia="宋体"/>
          <w:color w:val="auto"/>
          <w:sz w:val="21"/>
          <w:szCs w:val="21"/>
          <w:highlight w:val="none"/>
        </w:rPr>
      </w:pPr>
      <w:r>
        <w:rPr>
          <w:rFonts w:hint="eastAsia"/>
          <w:color w:val="auto"/>
          <w:sz w:val="21"/>
          <w:szCs w:val="21"/>
          <w:highlight w:val="none"/>
          <w:lang w:val="en-US" w:eastAsia="zh-CN"/>
        </w:rPr>
        <w:t>项目试运行验收合格后10个工作日内支付至</w:t>
      </w:r>
      <w:r>
        <w:rPr>
          <w:rFonts w:hint="eastAsia" w:ascii="宋体" w:hAnsi="宋体" w:eastAsia="宋体"/>
          <w:color w:val="auto"/>
          <w:sz w:val="21"/>
          <w:szCs w:val="21"/>
          <w:highlight w:val="none"/>
        </w:rPr>
        <w:t>合同款的【</w:t>
      </w:r>
      <w:r>
        <w:rPr>
          <w:rFonts w:hint="eastAsia"/>
          <w:color w:val="auto"/>
          <w:sz w:val="21"/>
          <w:szCs w:val="21"/>
          <w:highlight w:val="none"/>
          <w:lang w:val="en-US" w:eastAsia="zh-CN"/>
        </w:rPr>
        <w:t>80</w:t>
      </w:r>
      <w:r>
        <w:rPr>
          <w:rFonts w:hint="eastAsia" w:ascii="宋体" w:hAnsi="宋体" w:eastAsia="宋体"/>
          <w:color w:val="auto"/>
          <w:sz w:val="21"/>
          <w:szCs w:val="21"/>
          <w:highlight w:val="none"/>
        </w:rPr>
        <w:t>】%，即</w:t>
      </w:r>
      <w:r>
        <w:rPr>
          <w:rFonts w:hint="eastAsia" w:ascii="宋体" w:hAnsi="宋体" w:eastAsia="宋体"/>
          <w:color w:val="auto"/>
          <w:sz w:val="21"/>
          <w:szCs w:val="21"/>
          <w:highlight w:val="none"/>
          <w:u w:val="single"/>
        </w:rPr>
        <w:t xml:space="preserve"> </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 xml:space="preserve">元（大写：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lang w:val="en-US" w:eastAsia="zh-CN"/>
        </w:rPr>
        <w:t>元</w:t>
      </w:r>
      <w:r>
        <w:rPr>
          <w:rFonts w:hint="eastAsia" w:ascii="宋体" w:hAnsi="宋体" w:eastAsia="宋体"/>
          <w:color w:val="auto"/>
          <w:sz w:val="21"/>
          <w:szCs w:val="21"/>
          <w:highlight w:val="none"/>
        </w:rPr>
        <w:t>整），乙方</w:t>
      </w:r>
      <w:r>
        <w:rPr>
          <w:rFonts w:hint="eastAsia"/>
          <w:color w:val="auto"/>
          <w:sz w:val="21"/>
          <w:szCs w:val="21"/>
          <w:highlight w:val="none"/>
          <w:lang w:val="en-US" w:eastAsia="zh-CN"/>
        </w:rPr>
        <w:t>须</w:t>
      </w:r>
      <w:r>
        <w:rPr>
          <w:rFonts w:hint="eastAsia" w:ascii="宋体" w:hAnsi="宋体" w:eastAsia="宋体"/>
          <w:color w:val="auto"/>
          <w:sz w:val="21"/>
          <w:szCs w:val="21"/>
          <w:highlight w:val="none"/>
        </w:rPr>
        <w:t>开具此次支付价款等额</w:t>
      </w:r>
      <w:r>
        <w:rPr>
          <w:rFonts w:hint="eastAsia"/>
          <w:color w:val="auto"/>
          <w:sz w:val="21"/>
          <w:szCs w:val="21"/>
          <w:highlight w:val="none"/>
          <w:lang w:val="en-US" w:eastAsia="zh-CN"/>
        </w:rPr>
        <w:t>发票</w:t>
      </w:r>
      <w:r>
        <w:rPr>
          <w:rFonts w:hint="eastAsia" w:ascii="宋体" w:hAnsi="宋体" w:eastAsia="宋体"/>
          <w:color w:val="auto"/>
          <w:sz w:val="21"/>
          <w:szCs w:val="21"/>
          <w:highlight w:val="none"/>
        </w:rPr>
        <w:t>；</w:t>
      </w:r>
    </w:p>
    <w:p w14:paraId="764FDCEA">
      <w:pPr>
        <w:spacing w:line="360" w:lineRule="auto"/>
        <w:ind w:firstLine="420" w:firstLineChars="200"/>
        <w:rPr>
          <w:rFonts w:hint="eastAsia" w:ascii="宋体" w:hAnsi="宋体" w:eastAsia="宋体"/>
          <w:color w:val="auto"/>
          <w:sz w:val="21"/>
          <w:szCs w:val="21"/>
          <w:highlight w:val="none"/>
        </w:rPr>
      </w:pPr>
      <w:r>
        <w:rPr>
          <w:rFonts w:hint="eastAsia"/>
          <w:color w:val="auto"/>
          <w:sz w:val="21"/>
          <w:szCs w:val="21"/>
          <w:highlight w:val="none"/>
          <w:lang w:val="en-US" w:eastAsia="zh-CN"/>
        </w:rPr>
        <w:t>项目竣工验收合格并经第三方结算审计后</w:t>
      </w:r>
      <w:r>
        <w:rPr>
          <w:rFonts w:hint="eastAsia" w:ascii="宋体" w:hAnsi="宋体" w:eastAsia="宋体"/>
          <w:color w:val="auto"/>
          <w:sz w:val="21"/>
          <w:szCs w:val="21"/>
          <w:highlight w:val="none"/>
        </w:rPr>
        <w:t>，</w:t>
      </w:r>
      <w:r>
        <w:rPr>
          <w:rFonts w:hint="eastAsia"/>
          <w:color w:val="auto"/>
          <w:sz w:val="21"/>
          <w:szCs w:val="21"/>
          <w:highlight w:val="none"/>
          <w:lang w:val="en-US" w:eastAsia="zh-CN"/>
        </w:rPr>
        <w:t>支付审计后的剩余金额，</w:t>
      </w:r>
      <w:r>
        <w:rPr>
          <w:rFonts w:hint="eastAsia" w:ascii="宋体" w:hAnsi="宋体" w:eastAsia="宋体"/>
          <w:color w:val="auto"/>
          <w:sz w:val="21"/>
          <w:szCs w:val="21"/>
          <w:highlight w:val="none"/>
        </w:rPr>
        <w:t>乙方</w:t>
      </w:r>
      <w:r>
        <w:rPr>
          <w:rFonts w:hint="eastAsia"/>
          <w:color w:val="auto"/>
          <w:sz w:val="21"/>
          <w:szCs w:val="21"/>
          <w:highlight w:val="none"/>
          <w:lang w:val="en-US" w:eastAsia="zh-CN"/>
        </w:rPr>
        <w:t>须</w:t>
      </w:r>
      <w:r>
        <w:rPr>
          <w:rFonts w:hint="eastAsia" w:ascii="宋体" w:hAnsi="宋体" w:eastAsia="宋体"/>
          <w:color w:val="auto"/>
          <w:sz w:val="21"/>
          <w:szCs w:val="21"/>
          <w:highlight w:val="none"/>
        </w:rPr>
        <w:t>开具此次支付价款等额</w:t>
      </w:r>
      <w:r>
        <w:rPr>
          <w:rFonts w:hint="eastAsia"/>
          <w:color w:val="auto"/>
          <w:sz w:val="21"/>
          <w:szCs w:val="21"/>
          <w:highlight w:val="none"/>
          <w:lang w:val="en-US" w:eastAsia="zh-CN"/>
        </w:rPr>
        <w:t>发票</w:t>
      </w:r>
      <w:r>
        <w:rPr>
          <w:rFonts w:hint="eastAsia" w:ascii="宋体" w:hAnsi="宋体" w:eastAsia="宋体"/>
          <w:color w:val="auto"/>
          <w:sz w:val="21"/>
          <w:szCs w:val="21"/>
          <w:highlight w:val="none"/>
        </w:rPr>
        <w:t>。</w:t>
      </w:r>
    </w:p>
    <w:p w14:paraId="370CBF89">
      <w:pPr>
        <w:spacing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lang w:val="en-US" w:eastAsia="zh-CN"/>
        </w:rPr>
        <w:t>注：如</w:t>
      </w:r>
      <w:r>
        <w:rPr>
          <w:rFonts w:hint="eastAsia" w:ascii="宋体" w:hAnsi="宋体" w:eastAsia="宋体"/>
          <w:color w:val="auto"/>
          <w:sz w:val="21"/>
          <w:szCs w:val="21"/>
          <w:highlight w:val="none"/>
        </w:rPr>
        <w:t>乙方延期提供发票或提供的发票不符合甲方要求的，甲方有权拒付合同款项且不承担任何法律责任。因乙方原因导致甲方不能及时付款的，甲方无需承担任何责任。</w:t>
      </w:r>
    </w:p>
    <w:p w14:paraId="7689345F">
      <w:pPr>
        <w:spacing w:line="360" w:lineRule="auto"/>
        <w:ind w:firstLine="420" w:firstLineChars="200"/>
        <w:rPr>
          <w:rFonts w:hint="eastAsia" w:ascii="宋体" w:hAnsi="宋体" w:eastAsia="宋体"/>
          <w:color w:val="auto"/>
          <w:sz w:val="21"/>
          <w:szCs w:val="21"/>
          <w:highlight w:val="none"/>
        </w:rPr>
      </w:pPr>
      <w:r>
        <w:rPr>
          <w:rFonts w:hint="eastAsia"/>
          <w:color w:val="auto"/>
          <w:sz w:val="21"/>
          <w:szCs w:val="21"/>
          <w:highlight w:val="none"/>
          <w:lang w:val="en-US" w:eastAsia="zh-CN"/>
        </w:rPr>
        <w:t>甲方</w:t>
      </w:r>
      <w:r>
        <w:rPr>
          <w:rFonts w:hint="eastAsia" w:ascii="宋体" w:hAnsi="宋体" w:eastAsia="宋体"/>
          <w:color w:val="auto"/>
          <w:sz w:val="21"/>
          <w:szCs w:val="21"/>
          <w:highlight w:val="none"/>
        </w:rPr>
        <w:t>因财政资金审批导致延期付款的，应提前告知</w:t>
      </w:r>
      <w:r>
        <w:rPr>
          <w:rFonts w:hint="eastAsia"/>
          <w:color w:val="auto"/>
          <w:sz w:val="21"/>
          <w:szCs w:val="21"/>
          <w:highlight w:val="none"/>
          <w:lang w:val="en-US" w:eastAsia="zh-CN"/>
        </w:rPr>
        <w:t>乙方</w:t>
      </w:r>
      <w:r>
        <w:rPr>
          <w:rFonts w:hint="eastAsia" w:ascii="宋体" w:hAnsi="宋体" w:eastAsia="宋体"/>
          <w:color w:val="auto"/>
          <w:sz w:val="21"/>
          <w:szCs w:val="21"/>
          <w:highlight w:val="none"/>
        </w:rPr>
        <w:t>，不视为</w:t>
      </w:r>
      <w:r>
        <w:rPr>
          <w:rFonts w:hint="eastAsia"/>
          <w:color w:val="auto"/>
          <w:sz w:val="21"/>
          <w:szCs w:val="21"/>
          <w:highlight w:val="none"/>
          <w:lang w:val="en-US" w:eastAsia="zh-CN"/>
        </w:rPr>
        <w:t>甲方</w:t>
      </w:r>
      <w:r>
        <w:rPr>
          <w:rFonts w:hint="eastAsia" w:ascii="宋体" w:hAnsi="宋体" w:eastAsia="宋体"/>
          <w:color w:val="auto"/>
          <w:sz w:val="21"/>
          <w:szCs w:val="21"/>
          <w:highlight w:val="none"/>
        </w:rPr>
        <w:t>违约。</w:t>
      </w:r>
    </w:p>
    <w:p w14:paraId="41F810FC">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 xml:space="preserve">第五条 </w:t>
      </w:r>
      <w:r>
        <w:rPr>
          <w:rFonts w:ascii="宋体" w:hAnsi="宋体" w:eastAsia="宋体"/>
          <w:b/>
          <w:color w:val="auto"/>
          <w:sz w:val="21"/>
          <w:szCs w:val="21"/>
          <w:highlight w:val="none"/>
        </w:rPr>
        <w:t xml:space="preserve"> </w:t>
      </w:r>
      <w:r>
        <w:rPr>
          <w:rFonts w:hint="eastAsia" w:ascii="宋体" w:hAnsi="宋体" w:eastAsia="宋体"/>
          <w:b/>
          <w:color w:val="auto"/>
          <w:sz w:val="21"/>
          <w:szCs w:val="21"/>
          <w:highlight w:val="none"/>
        </w:rPr>
        <w:t>甲方的权利和义务</w:t>
      </w:r>
    </w:p>
    <w:p w14:paraId="2D9EECDD">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1．甲方提供信息化项目建设必须的安装条件其中包括运算环境、网络交换环境</w:t>
      </w:r>
      <w:r>
        <w:rPr>
          <w:rFonts w:hint="eastAsia"/>
          <w:color w:val="auto"/>
          <w:sz w:val="21"/>
          <w:szCs w:val="21"/>
          <w:highlight w:val="none"/>
          <w:lang w:eastAsia="zh-CN"/>
        </w:rPr>
        <w:t>、</w:t>
      </w:r>
      <w:r>
        <w:rPr>
          <w:rFonts w:hint="eastAsia"/>
          <w:color w:val="auto"/>
          <w:sz w:val="21"/>
          <w:szCs w:val="21"/>
          <w:highlight w:val="none"/>
          <w:lang w:val="en-US" w:eastAsia="zh-CN"/>
        </w:rPr>
        <w:t>硬件设施</w:t>
      </w:r>
      <w:r>
        <w:rPr>
          <w:rFonts w:hint="eastAsia" w:ascii="宋体" w:hAnsi="宋体" w:eastAsia="宋体"/>
          <w:color w:val="auto"/>
          <w:sz w:val="21"/>
          <w:szCs w:val="21"/>
          <w:highlight w:val="none"/>
        </w:rPr>
        <w:t>等。</w:t>
      </w:r>
    </w:p>
    <w:p w14:paraId="2F76606F">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2</w:t>
      </w:r>
      <w:r>
        <w:rPr>
          <w:rFonts w:hint="eastAsia" w:ascii="宋体" w:hAnsi="宋体" w:eastAsia="宋体"/>
          <w:color w:val="auto"/>
          <w:sz w:val="21"/>
          <w:szCs w:val="21"/>
          <w:highlight w:val="none"/>
        </w:rPr>
        <w:t>．甲方待乙方为其建设完成并验收，即成为乙方的合法用户，享受乙方的常规售后服务。</w:t>
      </w:r>
    </w:p>
    <w:p w14:paraId="03F28A43">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3</w:t>
      </w:r>
      <w:r>
        <w:rPr>
          <w:rFonts w:hint="eastAsia" w:ascii="宋体" w:hAnsi="宋体" w:eastAsia="宋体"/>
          <w:color w:val="auto"/>
          <w:sz w:val="21"/>
          <w:szCs w:val="21"/>
          <w:highlight w:val="none"/>
        </w:rPr>
        <w:t>．甲方应建立信息系统运行维护制度，以确保系统运行的安全。</w:t>
      </w:r>
    </w:p>
    <w:p w14:paraId="01961560">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4</w:t>
      </w:r>
      <w:r>
        <w:rPr>
          <w:rFonts w:hint="eastAsia" w:ascii="宋体" w:hAnsi="宋体" w:eastAsia="宋体"/>
          <w:color w:val="auto"/>
          <w:sz w:val="21"/>
          <w:szCs w:val="21"/>
          <w:highlight w:val="none"/>
        </w:rPr>
        <w:t>．甲方在系统操作使用过程中发现异常情况，应及时与乙方取得联系，并记录当前系统运行状况，以便乙方及时判断并解决。</w:t>
      </w:r>
    </w:p>
    <w:p w14:paraId="27823891">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5</w:t>
      </w:r>
      <w:r>
        <w:rPr>
          <w:rFonts w:hint="eastAsia" w:ascii="宋体" w:hAnsi="宋体" w:eastAsia="宋体"/>
          <w:color w:val="auto"/>
          <w:sz w:val="21"/>
          <w:szCs w:val="21"/>
          <w:highlight w:val="none"/>
        </w:rPr>
        <w:t>．甲方应以口头形式、电子信息和书面形式（信息科签字、盖章）向乙方反馈软件系统使用过程中遇到的问题及其他技术服务需求。</w:t>
      </w:r>
    </w:p>
    <w:p w14:paraId="269D9EC5">
      <w:pPr>
        <w:spacing w:line="360" w:lineRule="auto"/>
        <w:ind w:firstLine="420" w:firstLineChars="200"/>
        <w:rPr>
          <w:rFonts w:hint="eastAsia" w:ascii="宋体" w:hAnsi="宋体" w:eastAsia="宋体"/>
          <w:color w:val="auto"/>
          <w:sz w:val="21"/>
          <w:szCs w:val="21"/>
          <w:highlight w:val="none"/>
        </w:rPr>
      </w:pPr>
      <w:r>
        <w:rPr>
          <w:rFonts w:ascii="宋体" w:hAnsi="宋体" w:eastAsia="宋体"/>
          <w:color w:val="auto"/>
          <w:sz w:val="21"/>
          <w:szCs w:val="21"/>
          <w:highlight w:val="none"/>
        </w:rPr>
        <w:t>6</w:t>
      </w:r>
      <w:r>
        <w:rPr>
          <w:rFonts w:hint="eastAsia" w:ascii="宋体" w:hAnsi="宋体" w:eastAsia="宋体"/>
          <w:color w:val="auto"/>
          <w:sz w:val="21"/>
          <w:szCs w:val="21"/>
          <w:highlight w:val="none"/>
        </w:rPr>
        <w:t>．甲方应按照合同时限要求完成费用支付，不得无故拖延、停止费用支付义务，如确因乙方未达到合同要求导致费用延期、暂停支付的，需以书面方式告知乙方。</w:t>
      </w:r>
    </w:p>
    <w:p w14:paraId="615B7B06">
      <w:pPr>
        <w:spacing w:line="360" w:lineRule="auto"/>
        <w:ind w:firstLine="420" w:firstLineChars="200"/>
        <w:rPr>
          <w:rFonts w:hint="eastAsia" w:ascii="宋体" w:hAnsi="宋体" w:eastAsia="宋体"/>
          <w:color w:val="auto"/>
          <w:sz w:val="21"/>
          <w:szCs w:val="21"/>
          <w:highlight w:val="none"/>
          <w:lang w:val="en-US" w:eastAsia="zh-CN"/>
        </w:rPr>
      </w:pPr>
      <w:r>
        <w:rPr>
          <w:rFonts w:hint="eastAsia"/>
          <w:color w:val="auto"/>
          <w:sz w:val="21"/>
          <w:szCs w:val="21"/>
          <w:highlight w:val="none"/>
          <w:lang w:val="en-US" w:eastAsia="zh-CN"/>
        </w:rPr>
        <w:t>8.指定专人配合乙方开展需求对接、测试验收、人员培训等工作，及时反馈意见。</w:t>
      </w:r>
    </w:p>
    <w:p w14:paraId="0DA6DDDA">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9.甲方对项目进度、质量、安全进行全程监督，有权提出整改要求。</w:t>
      </w:r>
    </w:p>
    <w:p w14:paraId="270F191C">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10.要求乙方及时提供项目相关资料及进度报告。</w:t>
      </w:r>
    </w:p>
    <w:p w14:paraId="6DA34BE3">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11.验收不合格时，要求乙方限期整改。</w:t>
      </w:r>
    </w:p>
    <w:p w14:paraId="2A5C7A68">
      <w:pPr>
        <w:spacing w:line="360" w:lineRule="auto"/>
        <w:ind w:firstLine="420" w:firstLineChars="200"/>
        <w:rPr>
          <w:rFonts w:hint="default"/>
          <w:color w:val="auto"/>
          <w:sz w:val="21"/>
          <w:szCs w:val="21"/>
          <w:highlight w:val="none"/>
          <w:lang w:val="en-US" w:eastAsia="zh-CN"/>
        </w:rPr>
      </w:pPr>
      <w:r>
        <w:rPr>
          <w:rFonts w:hint="eastAsia"/>
          <w:color w:val="auto"/>
          <w:sz w:val="21"/>
          <w:szCs w:val="21"/>
          <w:highlight w:val="none"/>
          <w:lang w:val="en-US" w:eastAsia="zh-CN"/>
        </w:rPr>
        <w:t>12.因乙方违约导致合同无法履行的，有权解除合同并追究违约责任。</w:t>
      </w:r>
    </w:p>
    <w:p w14:paraId="2D7C131A">
      <w:pPr>
        <w:tabs>
          <w:tab w:val="left" w:pos="0"/>
        </w:tabs>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 xml:space="preserve">第六条 </w:t>
      </w:r>
      <w:r>
        <w:rPr>
          <w:rFonts w:ascii="宋体" w:hAnsi="宋体" w:eastAsia="宋体"/>
          <w:b/>
          <w:color w:val="auto"/>
          <w:sz w:val="21"/>
          <w:szCs w:val="21"/>
          <w:highlight w:val="none"/>
        </w:rPr>
        <w:t xml:space="preserve"> </w:t>
      </w:r>
      <w:r>
        <w:rPr>
          <w:rFonts w:hint="eastAsia" w:ascii="宋体" w:hAnsi="宋体" w:eastAsia="宋体"/>
          <w:b/>
          <w:color w:val="auto"/>
          <w:sz w:val="21"/>
          <w:szCs w:val="21"/>
          <w:highlight w:val="none"/>
        </w:rPr>
        <w:t>乙方的权利和义务</w:t>
      </w:r>
    </w:p>
    <w:p w14:paraId="0733F998">
      <w:pPr>
        <w:spacing w:line="360" w:lineRule="auto"/>
        <w:ind w:firstLine="480"/>
        <w:rPr>
          <w:rFonts w:ascii="宋体" w:hAnsi="宋体" w:eastAsia="宋体"/>
          <w:color w:val="auto"/>
          <w:sz w:val="21"/>
          <w:szCs w:val="21"/>
          <w:highlight w:val="none"/>
        </w:rPr>
      </w:pPr>
      <w:r>
        <w:rPr>
          <w:rFonts w:hint="eastAsia" w:ascii="宋体" w:hAnsi="宋体" w:eastAsia="宋体"/>
          <w:color w:val="auto"/>
          <w:sz w:val="21"/>
          <w:szCs w:val="21"/>
          <w:highlight w:val="none"/>
        </w:rPr>
        <w:t>1.乙方将按本合同约定向甲方提供软件系统及服务，乙方所提供产品应遵循国家标准、行业标准。</w:t>
      </w:r>
    </w:p>
    <w:p w14:paraId="73144060">
      <w:pPr>
        <w:spacing w:line="360" w:lineRule="auto"/>
        <w:ind w:firstLine="482"/>
        <w:rPr>
          <w:rFonts w:ascii="宋体" w:hAnsi="宋体" w:eastAsia="宋体"/>
          <w:color w:val="auto"/>
          <w:sz w:val="21"/>
          <w:szCs w:val="21"/>
          <w:highlight w:val="none"/>
        </w:rPr>
      </w:pPr>
      <w:r>
        <w:rPr>
          <w:rFonts w:hint="eastAsia" w:ascii="宋体" w:hAnsi="宋体" w:eastAsia="宋体"/>
          <w:color w:val="auto"/>
          <w:sz w:val="21"/>
          <w:szCs w:val="21"/>
          <w:highlight w:val="none"/>
        </w:rPr>
        <w:t>2．乙方应提供信息化项目设计实施方案，提供完整的系统实施方案和软件实施管理办法，含本地化修改、测试、试运行、</w:t>
      </w:r>
      <w:r>
        <w:rPr>
          <w:rFonts w:hint="eastAsia"/>
          <w:color w:val="auto"/>
          <w:sz w:val="21"/>
          <w:szCs w:val="21"/>
          <w:highlight w:val="none"/>
          <w:lang w:val="en-US" w:eastAsia="zh-CN"/>
        </w:rPr>
        <w:t>免费</w:t>
      </w:r>
      <w:r>
        <w:rPr>
          <w:rFonts w:hint="eastAsia" w:ascii="宋体" w:hAnsi="宋体" w:eastAsia="宋体"/>
          <w:color w:val="auto"/>
          <w:sz w:val="21"/>
          <w:szCs w:val="21"/>
          <w:highlight w:val="none"/>
        </w:rPr>
        <w:t>培训及上线计划等。</w:t>
      </w:r>
    </w:p>
    <w:p w14:paraId="249D9B81">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3</w:t>
      </w:r>
      <w:r>
        <w:rPr>
          <w:rFonts w:hint="eastAsia" w:ascii="宋体" w:hAnsi="宋体" w:eastAsia="宋体"/>
          <w:color w:val="auto"/>
          <w:sz w:val="21"/>
          <w:szCs w:val="21"/>
          <w:highlight w:val="none"/>
        </w:rPr>
        <w:t>.对本合同所含信息化项目按双方约定时间和条件提供安装调试及售后服务。结合甲方实际情况，拟定有序、安全稳妥的实施方案，以及数据对接集成等详细实施步骤。</w:t>
      </w:r>
    </w:p>
    <w:p w14:paraId="664C8952">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4.乙方提供充足的技术实施人员以确保项目在工期要求内顺利完成。乙方须针对甲方项目提供项目组人员、项目负责人简历、项目主要技术人员相关分工，项目组人员未经甲方书面同意，不能随意更换。</w:t>
      </w:r>
    </w:p>
    <w:p w14:paraId="14811192">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5</w:t>
      </w:r>
      <w:r>
        <w:rPr>
          <w:rFonts w:hint="eastAsia" w:ascii="宋体" w:hAnsi="宋体" w:eastAsia="宋体"/>
          <w:color w:val="auto"/>
          <w:sz w:val="21"/>
          <w:szCs w:val="21"/>
          <w:highlight w:val="none"/>
        </w:rPr>
        <w:t>.乙方应向甲方免费提供信息化项目使用培训，使甲方工作人员能正常操作使用相关系统，并对甲方的系统管理员进行不限次数的免费培训，使其熟练掌握相关产品的日常基本维护。</w:t>
      </w:r>
    </w:p>
    <w:p w14:paraId="56FE69A7">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6</w:t>
      </w:r>
      <w:r>
        <w:rPr>
          <w:rFonts w:hint="eastAsia" w:ascii="宋体" w:hAnsi="宋体" w:eastAsia="宋体"/>
          <w:color w:val="auto"/>
          <w:sz w:val="21"/>
          <w:szCs w:val="21"/>
          <w:highlight w:val="none"/>
        </w:rPr>
        <w:t>.乙方在履行本合同过程中，应按照甲方数据管理相关规范要求，负责系统数据迁移的安全性，对迁移数据进行备份，确保数据完整准确</w:t>
      </w:r>
      <w:r>
        <w:rPr>
          <w:rFonts w:hint="eastAsia"/>
          <w:color w:val="auto"/>
          <w:sz w:val="21"/>
          <w:szCs w:val="21"/>
          <w:highlight w:val="none"/>
          <w:lang w:eastAsia="zh-CN"/>
        </w:rPr>
        <w:t>，</w:t>
      </w:r>
      <w:r>
        <w:rPr>
          <w:rFonts w:hint="eastAsia" w:ascii="宋体" w:hAnsi="宋体" w:eastAsia="宋体"/>
          <w:color w:val="auto"/>
          <w:sz w:val="21"/>
          <w:szCs w:val="21"/>
          <w:highlight w:val="none"/>
        </w:rPr>
        <w:t>不得擅自对甲方的数据进行增减和修改等操作，不得未经甲方书面授权，拷贝甲方的数据供分析、查询、演示等作用</w:t>
      </w:r>
      <w:r>
        <w:rPr>
          <w:rFonts w:hint="eastAsia"/>
          <w:color w:val="auto"/>
          <w:sz w:val="21"/>
          <w:szCs w:val="21"/>
          <w:highlight w:val="none"/>
          <w:lang w:eastAsia="zh-CN"/>
        </w:rPr>
        <w:t>，项目结束后须销毁工作中留存的敏感数据，经甲方验收确认后方可离场；</w:t>
      </w:r>
      <w:r>
        <w:rPr>
          <w:rFonts w:hint="eastAsia" w:ascii="宋体" w:hAnsi="宋体" w:eastAsia="宋体"/>
          <w:color w:val="auto"/>
          <w:sz w:val="21"/>
          <w:szCs w:val="21"/>
          <w:highlight w:val="none"/>
        </w:rPr>
        <w:t>。</w:t>
      </w:r>
    </w:p>
    <w:p w14:paraId="41387C70">
      <w:pPr>
        <w:spacing w:line="360" w:lineRule="auto"/>
        <w:ind w:firstLine="420" w:firstLineChars="200"/>
        <w:rPr>
          <w:rFonts w:hint="eastAsia" w:ascii="宋体" w:hAnsi="宋体" w:eastAsia="宋体"/>
          <w:color w:val="auto"/>
          <w:sz w:val="21"/>
          <w:szCs w:val="21"/>
          <w:highlight w:val="none"/>
        </w:rPr>
      </w:pPr>
      <w:r>
        <w:rPr>
          <w:rFonts w:hint="eastAsia"/>
          <w:color w:val="auto"/>
          <w:sz w:val="21"/>
          <w:szCs w:val="21"/>
          <w:highlight w:val="none"/>
          <w:lang w:val="en-US" w:eastAsia="zh-CN"/>
        </w:rPr>
        <w:t>7.</w:t>
      </w:r>
      <w:r>
        <w:rPr>
          <w:rFonts w:hint="eastAsia" w:ascii="宋体" w:hAnsi="宋体" w:eastAsia="宋体"/>
          <w:color w:val="auto"/>
          <w:sz w:val="21"/>
          <w:szCs w:val="21"/>
          <w:highlight w:val="none"/>
        </w:rPr>
        <w:t>当乙方知晓系统发生重大安全事故时，</w:t>
      </w:r>
      <w:r>
        <w:rPr>
          <w:rFonts w:hint="eastAsia"/>
          <w:color w:val="auto"/>
          <w:sz w:val="21"/>
          <w:szCs w:val="21"/>
          <w:highlight w:val="none"/>
          <w:lang w:val="en-US" w:eastAsia="zh-CN"/>
        </w:rPr>
        <w:t>须在1小时内响应。</w:t>
      </w:r>
      <w:r>
        <w:rPr>
          <w:rFonts w:hint="eastAsia" w:ascii="宋体" w:hAnsi="宋体" w:eastAsia="宋体"/>
          <w:color w:val="auto"/>
          <w:sz w:val="21"/>
          <w:szCs w:val="21"/>
          <w:highlight w:val="none"/>
        </w:rPr>
        <w:t>积极配合甲方采取应急保全措施，协助防范事故的扩大。</w:t>
      </w:r>
    </w:p>
    <w:p w14:paraId="422C81DD">
      <w:pPr>
        <w:spacing w:line="360" w:lineRule="auto"/>
        <w:ind w:firstLine="420" w:firstLineChars="200"/>
        <w:rPr>
          <w:rFonts w:hint="default" w:ascii="宋体" w:hAnsi="宋体" w:eastAsia="宋体"/>
          <w:color w:val="auto"/>
          <w:sz w:val="21"/>
          <w:szCs w:val="21"/>
          <w:highlight w:val="none"/>
          <w:lang w:val="en-US" w:eastAsia="zh-CN"/>
        </w:rPr>
      </w:pPr>
      <w:r>
        <w:rPr>
          <w:rFonts w:hint="eastAsia"/>
          <w:color w:val="auto"/>
          <w:sz w:val="21"/>
          <w:szCs w:val="21"/>
          <w:highlight w:val="none"/>
          <w:lang w:val="en-US" w:eastAsia="zh-CN"/>
        </w:rPr>
        <w:t>8.甲方未履行配合义务导致项目延误的，有权要求延长工期。</w:t>
      </w:r>
    </w:p>
    <w:p w14:paraId="52490F1D">
      <w:pPr>
        <w:spacing w:line="360" w:lineRule="auto"/>
        <w:rPr>
          <w:rFonts w:ascii="宋体" w:hAnsi="宋体" w:eastAsia="宋体"/>
          <w:b/>
          <w:bCs/>
          <w:color w:val="auto"/>
          <w:sz w:val="21"/>
          <w:szCs w:val="21"/>
          <w:highlight w:val="none"/>
        </w:rPr>
      </w:pPr>
      <w:r>
        <w:rPr>
          <w:rFonts w:hint="eastAsia" w:ascii="宋体" w:hAnsi="宋体" w:eastAsia="宋体"/>
          <w:b/>
          <w:bCs/>
          <w:color w:val="auto"/>
          <w:sz w:val="21"/>
          <w:szCs w:val="21"/>
          <w:highlight w:val="none"/>
        </w:rPr>
        <w:t>第七条 售后服务</w:t>
      </w:r>
    </w:p>
    <w:p w14:paraId="55057C07">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1.免费维保期：自项目验收合格之日起</w:t>
      </w:r>
      <w:r>
        <w:rPr>
          <w:rFonts w:hint="eastAsia" w:ascii="宋体" w:hAnsi="宋体" w:eastAsia="宋体"/>
          <w:b/>
          <w:bCs/>
          <w:color w:val="auto"/>
          <w:sz w:val="21"/>
          <w:szCs w:val="21"/>
          <w:highlight w:val="none"/>
        </w:rPr>
        <w:t>【</w:t>
      </w:r>
      <w:r>
        <w:rPr>
          <w:rFonts w:hint="eastAsia"/>
          <w:b/>
          <w:bCs/>
          <w:color w:val="auto"/>
          <w:sz w:val="21"/>
          <w:szCs w:val="21"/>
          <w:highlight w:val="none"/>
          <w:lang w:val="en-US" w:eastAsia="zh-CN"/>
        </w:rPr>
        <w:t xml:space="preserve">  </w:t>
      </w:r>
      <w:r>
        <w:rPr>
          <w:rFonts w:hint="eastAsia" w:ascii="宋体" w:hAnsi="宋体" w:eastAsia="宋体"/>
          <w:b/>
          <w:bCs/>
          <w:color w:val="auto"/>
          <w:sz w:val="21"/>
          <w:szCs w:val="21"/>
          <w:highlight w:val="none"/>
        </w:rPr>
        <w:t>】</w:t>
      </w:r>
      <w:r>
        <w:rPr>
          <w:rFonts w:hint="eastAsia" w:ascii="宋体" w:hAnsi="宋体" w:eastAsia="宋体"/>
          <w:color w:val="auto"/>
          <w:sz w:val="21"/>
          <w:szCs w:val="21"/>
          <w:highlight w:val="none"/>
          <w:lang w:val="en-US" w:eastAsia="zh-CN"/>
        </w:rPr>
        <w:t>个月</w:t>
      </w:r>
      <w:r>
        <w:rPr>
          <w:rFonts w:hint="eastAsia" w:ascii="宋体" w:hAnsi="宋体" w:eastAsia="宋体"/>
          <w:color w:val="auto"/>
          <w:sz w:val="21"/>
          <w:szCs w:val="21"/>
          <w:highlight w:val="none"/>
        </w:rPr>
        <w:t>。维保期内，乙方提供7×24小时技术支持。</w:t>
      </w:r>
    </w:p>
    <w:p w14:paraId="542F0BF9">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2</w:t>
      </w:r>
      <w:r>
        <w:rPr>
          <w:rFonts w:hint="eastAsia" w:ascii="宋体" w:hAnsi="宋体" w:eastAsia="宋体"/>
          <w:color w:val="auto"/>
          <w:sz w:val="21"/>
          <w:szCs w:val="21"/>
          <w:highlight w:val="none"/>
        </w:rPr>
        <w:t xml:space="preserve">.乙方售后服务联系人及电话：【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w:t>
      </w:r>
    </w:p>
    <w:p w14:paraId="0F0620BA">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3</w:t>
      </w:r>
      <w:r>
        <w:rPr>
          <w:rFonts w:hint="eastAsia" w:ascii="宋体" w:hAnsi="宋体" w:eastAsia="宋体"/>
          <w:color w:val="auto"/>
          <w:sz w:val="21"/>
          <w:szCs w:val="21"/>
          <w:highlight w:val="none"/>
        </w:rPr>
        <w:t>.售后服务方式：在免费维保期内，乙方应组建项目售后服务小组，提供以下售后服务：（在所选项目前打“√”）</w:t>
      </w:r>
    </w:p>
    <w:p w14:paraId="143BC09F">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□巡检服务：乙方应按期提供</w:t>
      </w:r>
      <w:r>
        <w:rPr>
          <w:rFonts w:hint="eastAsia"/>
          <w:color w:val="auto"/>
          <w:sz w:val="21"/>
          <w:szCs w:val="21"/>
          <w:highlight w:val="none"/>
          <w:lang w:val="en-US" w:eastAsia="zh-CN"/>
        </w:rPr>
        <w:t>现场</w:t>
      </w:r>
      <w:r>
        <w:rPr>
          <w:rFonts w:hint="eastAsia" w:ascii="宋体" w:hAnsi="宋体" w:eastAsia="宋体"/>
          <w:color w:val="auto"/>
          <w:sz w:val="21"/>
          <w:szCs w:val="21"/>
          <w:highlight w:val="none"/>
        </w:rPr>
        <w:t>巡检服务，巡检周期：【</w:t>
      </w:r>
      <w:r>
        <w:rPr>
          <w:rFonts w:hint="eastAsia"/>
          <w:color w:val="auto"/>
          <w:sz w:val="21"/>
          <w:szCs w:val="21"/>
          <w:highlight w:val="none"/>
          <w:lang w:val="en-US" w:eastAsia="zh-CN"/>
        </w:rPr>
        <w:t>每季度1次</w:t>
      </w:r>
      <w:r>
        <w:rPr>
          <w:rFonts w:hint="eastAsia" w:ascii="宋体" w:hAnsi="宋体" w:eastAsia="宋体"/>
          <w:color w:val="auto"/>
          <w:sz w:val="21"/>
          <w:szCs w:val="21"/>
          <w:highlight w:val="none"/>
        </w:rPr>
        <w:t>】，巡检内容包括服务状态、硬盘空间检查、科室业务问题收集处理、安全检查等</w:t>
      </w:r>
      <w:r>
        <w:rPr>
          <w:rFonts w:hint="eastAsia"/>
          <w:color w:val="auto"/>
          <w:sz w:val="21"/>
          <w:szCs w:val="21"/>
          <w:highlight w:val="none"/>
          <w:lang w:eastAsia="zh-CN"/>
        </w:rPr>
        <w:t>，形成巡检报告并提交甲方</w:t>
      </w:r>
      <w:r>
        <w:rPr>
          <w:rFonts w:hint="eastAsia" w:ascii="宋体" w:hAnsi="宋体" w:eastAsia="宋体"/>
          <w:color w:val="auto"/>
          <w:sz w:val="21"/>
          <w:szCs w:val="21"/>
          <w:highlight w:val="none"/>
        </w:rPr>
        <w:t>；</w:t>
      </w:r>
    </w:p>
    <w:p w14:paraId="6852C088">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□维护服务：乙方在接到甲方的口头或书面（信息科签字、盖章）服务要求后，了解甲方需要解决的问题，通过【电话远程、远程协助、现场维护】等方式响应维护需求；</w:t>
      </w:r>
      <w:r>
        <w:rPr>
          <w:rFonts w:ascii="宋体" w:hAnsi="宋体" w:eastAsia="宋体"/>
          <w:color w:val="auto"/>
          <w:sz w:val="21"/>
          <w:szCs w:val="21"/>
          <w:highlight w:val="none"/>
        </w:rPr>
        <w:t xml:space="preserve"> </w:t>
      </w:r>
    </w:p>
    <w:p w14:paraId="73AE50A6">
      <w:pPr>
        <w:spacing w:line="360" w:lineRule="auto"/>
        <w:ind w:firstLine="420" w:firstLineChars="200"/>
        <w:rPr>
          <w:color w:val="auto"/>
          <w:highlight w:val="none"/>
        </w:rPr>
      </w:pPr>
      <w:r>
        <w:rPr>
          <w:rFonts w:hint="eastAsia" w:ascii="宋体" w:hAnsi="宋体" w:eastAsia="宋体"/>
          <w:color w:val="auto"/>
          <w:sz w:val="21"/>
          <w:szCs w:val="21"/>
          <w:highlight w:val="none"/>
        </w:rPr>
        <w:t>□驻场服务：</w:t>
      </w:r>
      <w:r>
        <w:rPr>
          <w:rFonts w:hint="eastAsia"/>
          <w:color w:val="auto"/>
          <w:sz w:val="21"/>
          <w:szCs w:val="21"/>
          <w:highlight w:val="none"/>
          <w:lang w:val="en-US" w:eastAsia="zh-CN"/>
        </w:rPr>
        <w:t>维保期内，</w:t>
      </w:r>
      <w:r>
        <w:rPr>
          <w:rFonts w:hint="eastAsia" w:ascii="宋体" w:hAnsi="宋体" w:eastAsia="宋体"/>
          <w:color w:val="auto"/>
          <w:sz w:val="21"/>
          <w:szCs w:val="21"/>
          <w:highlight w:val="none"/>
        </w:rPr>
        <w:t xml:space="preserve">乙方应按照甲方要求提供【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名驻场工程师进行产品和服务维护工作。乙方应提交驻场工程师简历供甲方审核，经甲方书面同意后，驻场工程师才可承担维护工作；维保期内，如驻场工程师不足以承担售后服务工作，甲方有权要求乙方更换驻场工程师；未经甲方书面同意，乙方不得擅自调离、更换、停止驻场工程师工作。</w:t>
      </w:r>
    </w:p>
    <w:p w14:paraId="67C649BC">
      <w:pPr>
        <w:spacing w:line="360" w:lineRule="auto"/>
        <w:ind w:firstLine="420" w:firstLineChars="200"/>
        <w:rPr>
          <w:rFonts w:hint="default" w:ascii="宋体" w:hAnsi="宋体" w:eastAsia="宋体"/>
          <w:color w:val="auto"/>
          <w:sz w:val="21"/>
          <w:szCs w:val="21"/>
          <w:highlight w:val="none"/>
          <w:lang w:val="en-US" w:eastAsia="zh-CN"/>
        </w:rPr>
      </w:pPr>
      <w:r>
        <w:rPr>
          <w:rFonts w:hint="eastAsia"/>
          <w:color w:val="auto"/>
          <w:sz w:val="21"/>
          <w:szCs w:val="21"/>
          <w:highlight w:val="none"/>
          <w:lang w:eastAsia="zh-CN"/>
        </w:rPr>
        <w:t>□</w:t>
      </w:r>
      <w:r>
        <w:rPr>
          <w:rFonts w:hint="eastAsia"/>
          <w:color w:val="auto"/>
          <w:sz w:val="21"/>
          <w:szCs w:val="21"/>
          <w:highlight w:val="none"/>
          <w:lang w:val="en-US" w:eastAsia="zh-CN"/>
        </w:rPr>
        <w:t>系统升级：维保期内，乙方免费提供系统bug修复及基于甲方业务需求的小范围功能优化升级；重大版本升级需双方另行协商。</w:t>
      </w:r>
    </w:p>
    <w:p w14:paraId="7E023B45">
      <w:pPr>
        <w:spacing w:line="360" w:lineRule="auto"/>
        <w:ind w:firstLine="420" w:firstLineChars="200"/>
        <w:rPr>
          <w:rFonts w:ascii="宋体" w:hAnsi="宋体" w:eastAsia="宋体"/>
          <w:color w:val="auto"/>
          <w:sz w:val="21"/>
          <w:szCs w:val="21"/>
          <w:highlight w:val="none"/>
        </w:rPr>
      </w:pPr>
      <w:r>
        <w:rPr>
          <w:rFonts w:hint="eastAsia" w:ascii="宋体" w:hAnsi="宋体" w:eastAsia="宋体"/>
          <w:color w:val="auto"/>
          <w:sz w:val="21"/>
          <w:szCs w:val="21"/>
          <w:highlight w:val="none"/>
        </w:rPr>
        <w:t xml:space="preserve">□其他服务：【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 xml:space="preserve">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w:t>
      </w:r>
    </w:p>
    <w:p w14:paraId="0E2C3F11">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4</w:t>
      </w:r>
      <w:r>
        <w:rPr>
          <w:rFonts w:hint="eastAsia" w:ascii="宋体" w:hAnsi="宋体" w:eastAsia="宋体"/>
          <w:color w:val="auto"/>
          <w:sz w:val="21"/>
          <w:szCs w:val="21"/>
          <w:highlight w:val="none"/>
        </w:rPr>
        <w:t>.售后服务响应时间：乙方在接到甲方的服务要求后【</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 xml:space="preserve">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】内响应，双方按需协商后【</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 xml:space="preserve">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】内派出技术人员到达现场，乙方解决故障等问题、恢复系统正常运行的时间不得超过接到甲方通知时起【</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 xml:space="preserve">   </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小时，因甲方、第三方或不可抗力因素等导致无法进行正常系统故障处理的，双方协商后可顺延售后服务时间。如乙方未按时响应或未按时到达现场、未按时解决故障等问题的，甲方有权委托第三方解决，由此产生的全部风险及费用（包括但不限于委托第三人所支付的费用）由乙方承担。</w:t>
      </w:r>
    </w:p>
    <w:p w14:paraId="4D3F9A91">
      <w:pPr>
        <w:spacing w:line="360" w:lineRule="auto"/>
        <w:ind w:firstLine="420" w:firstLineChars="200"/>
        <w:rPr>
          <w:rFonts w:ascii="宋体" w:hAnsi="宋体" w:eastAsia="宋体"/>
          <w:color w:val="auto"/>
          <w:sz w:val="21"/>
          <w:szCs w:val="21"/>
          <w:highlight w:val="none"/>
        </w:rPr>
      </w:pPr>
      <w:r>
        <w:rPr>
          <w:rFonts w:ascii="宋体" w:hAnsi="宋体" w:eastAsia="宋体"/>
          <w:color w:val="auto"/>
          <w:sz w:val="21"/>
          <w:szCs w:val="21"/>
          <w:highlight w:val="none"/>
        </w:rPr>
        <w:t>5</w:t>
      </w:r>
      <w:r>
        <w:rPr>
          <w:rFonts w:hint="eastAsia" w:ascii="宋体" w:hAnsi="宋体" w:eastAsia="宋体"/>
          <w:color w:val="auto"/>
          <w:sz w:val="21"/>
          <w:szCs w:val="21"/>
          <w:highlight w:val="none"/>
        </w:rPr>
        <w:t>.免费维保期结束</w:t>
      </w:r>
      <w:r>
        <w:rPr>
          <w:rFonts w:hint="eastAsia"/>
          <w:color w:val="auto"/>
          <w:sz w:val="21"/>
          <w:szCs w:val="21"/>
          <w:highlight w:val="none"/>
          <w:lang w:val="en-US" w:eastAsia="zh-CN"/>
        </w:rPr>
        <w:t>前30天</w:t>
      </w:r>
      <w:r>
        <w:rPr>
          <w:rFonts w:hint="eastAsia" w:ascii="宋体" w:hAnsi="宋体" w:eastAsia="宋体"/>
          <w:color w:val="auto"/>
          <w:sz w:val="21"/>
          <w:szCs w:val="21"/>
          <w:highlight w:val="none"/>
        </w:rPr>
        <w:t>，维保协议双方另行商定并签订维保合同。</w:t>
      </w:r>
    </w:p>
    <w:p w14:paraId="23AC0BF0">
      <w:pPr>
        <w:spacing w:line="360" w:lineRule="auto"/>
        <w:rPr>
          <w:rFonts w:ascii="宋体" w:hAnsi="宋体" w:eastAsia="宋体"/>
          <w:b/>
          <w:color w:val="auto"/>
          <w:sz w:val="21"/>
          <w:szCs w:val="21"/>
          <w:highlight w:val="none"/>
        </w:rPr>
      </w:pPr>
      <w:r>
        <w:rPr>
          <w:rFonts w:hint="eastAsia" w:ascii="宋体" w:hAnsi="宋体" w:eastAsia="宋体"/>
          <w:b/>
          <w:color w:val="auto"/>
          <w:sz w:val="21"/>
          <w:szCs w:val="21"/>
          <w:highlight w:val="none"/>
        </w:rPr>
        <w:t>第八条 违约责任</w:t>
      </w:r>
    </w:p>
    <w:p w14:paraId="4E48EC2F">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1．双方应遵守本合同，严格履行各自的义务，任一方违反合同约定的任一义务，均应向合同相对方承担相应的违约责任。</w:t>
      </w:r>
    </w:p>
    <w:p w14:paraId="40529D74">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2．乙方不得擅自部分或全部转让其应履行的合同义务，否则甲方有权单方解除本合同（合同自书面解除通知到达乙方之日起解除），并要求乙方支付</w:t>
      </w:r>
      <w:r>
        <w:rPr>
          <w:rFonts w:hint="eastAsia"/>
          <w:color w:val="auto"/>
          <w:sz w:val="21"/>
          <w:szCs w:val="21"/>
          <w:highlight w:val="none"/>
          <w:lang w:val="en-US" w:eastAsia="zh-CN"/>
        </w:rPr>
        <w:t>合同总金额的20%的违约金</w:t>
      </w:r>
      <w:r>
        <w:rPr>
          <w:rFonts w:hint="eastAsia" w:ascii="宋体" w:hAnsi="宋体" w:eastAsia="宋体"/>
          <w:color w:val="auto"/>
          <w:sz w:val="21"/>
          <w:szCs w:val="21"/>
          <w:highlight w:val="none"/>
        </w:rPr>
        <w:t>，违约金不足以弥补甲方损失的，乙方应另行承担。</w:t>
      </w:r>
    </w:p>
    <w:p w14:paraId="0945DEEC">
      <w:pPr>
        <w:spacing w:line="360" w:lineRule="auto"/>
        <w:ind w:firstLine="56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3．乙方未按合同约定期限完成产品和服务工作的，每逾期一天，乙方向甲方支付合同总金额【</w:t>
      </w:r>
      <w:r>
        <w:rPr>
          <w:rFonts w:hint="eastAsia"/>
          <w:color w:val="auto"/>
          <w:sz w:val="21"/>
          <w:szCs w:val="21"/>
          <w:highlight w:val="none"/>
          <w:lang w:val="en-US" w:eastAsia="zh-CN"/>
        </w:rPr>
        <w:t>0.5</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】%作为违约金，累计逾期超过【</w:t>
      </w:r>
      <w:r>
        <w:rPr>
          <w:rFonts w:hint="eastAsia"/>
          <w:color w:val="auto"/>
          <w:sz w:val="21"/>
          <w:szCs w:val="21"/>
          <w:highlight w:val="none"/>
          <w:lang w:val="en-US" w:eastAsia="zh-CN"/>
        </w:rPr>
        <w:t>30</w:t>
      </w:r>
      <w:r>
        <w:rPr>
          <w:rFonts w:hint="eastAsia" w:ascii="宋体" w:hAnsi="宋体" w:eastAsia="宋体"/>
          <w:color w:val="auto"/>
          <w:sz w:val="21"/>
          <w:szCs w:val="21"/>
          <w:highlight w:val="none"/>
        </w:rPr>
        <w:t>】天的，视为乙方根本违约，甲方有权单方解除合同，合同自甲方书面解除通知送达乙方之日起解除，乙方应按合同总价的【</w:t>
      </w:r>
      <w:r>
        <w:rPr>
          <w:rFonts w:hint="eastAsia"/>
          <w:color w:val="auto"/>
          <w:sz w:val="21"/>
          <w:szCs w:val="21"/>
          <w:highlight w:val="none"/>
          <w:lang w:val="en-US" w:eastAsia="zh-CN"/>
        </w:rPr>
        <w:t>20</w:t>
      </w:r>
      <w:r>
        <w:rPr>
          <w:rFonts w:ascii="宋体" w:hAnsi="宋体" w:eastAsia="宋体"/>
          <w:color w:val="auto"/>
          <w:sz w:val="21"/>
          <w:szCs w:val="21"/>
          <w:highlight w:val="none"/>
        </w:rPr>
        <w:t xml:space="preserve"> </w:t>
      </w:r>
      <w:r>
        <w:rPr>
          <w:rFonts w:hint="eastAsia" w:ascii="宋体" w:hAnsi="宋体" w:eastAsia="宋体"/>
          <w:color w:val="auto"/>
          <w:sz w:val="21"/>
          <w:szCs w:val="21"/>
          <w:highlight w:val="none"/>
        </w:rPr>
        <w:t>】%向甲方支付违约金，违约金不足以赔偿甲方损失的，由乙方另行承担。</w:t>
      </w:r>
    </w:p>
    <w:p w14:paraId="3C0FDFF3">
      <w:pPr>
        <w:spacing w:line="360" w:lineRule="auto"/>
        <w:ind w:firstLine="560"/>
        <w:rPr>
          <w:rFonts w:hint="eastAsia" w:ascii="宋体" w:hAnsi="宋体" w:eastAsia="宋体"/>
          <w:color w:val="auto"/>
          <w:sz w:val="21"/>
          <w:szCs w:val="21"/>
          <w:highlight w:val="none"/>
          <w:lang w:eastAsia="zh-CN"/>
        </w:rPr>
      </w:pPr>
      <w:r>
        <w:rPr>
          <w:rFonts w:hint="eastAsia" w:ascii="宋体" w:hAnsi="宋体" w:eastAsia="宋体"/>
          <w:color w:val="auto"/>
          <w:sz w:val="21"/>
          <w:szCs w:val="21"/>
          <w:highlight w:val="none"/>
          <w:lang w:val="en-US" w:eastAsia="zh-CN"/>
        </w:rPr>
        <w:t>4</w:t>
      </w:r>
      <w:r>
        <w:rPr>
          <w:rFonts w:hint="eastAsia" w:ascii="宋体" w:hAnsi="宋体" w:eastAsia="宋体"/>
          <w:color w:val="auto"/>
          <w:sz w:val="21"/>
          <w:szCs w:val="21"/>
          <w:highlight w:val="none"/>
        </w:rPr>
        <w:t>．</w:t>
      </w:r>
      <w:r>
        <w:rPr>
          <w:rFonts w:hint="eastAsia" w:ascii="宋体" w:hAnsi="宋体" w:eastAsia="宋体"/>
          <w:color w:val="auto"/>
          <w:sz w:val="21"/>
          <w:szCs w:val="21"/>
          <w:highlight w:val="none"/>
          <w:lang w:val="en-US" w:eastAsia="zh-CN"/>
        </w:rPr>
        <w:t>乙方如在项目免费维保期内拒绝提供或以各种理由逃避提供合同范围内及响应文件中承诺的免费维保服务，甲方有权要求</w:t>
      </w:r>
      <w:r>
        <w:rPr>
          <w:rFonts w:hint="eastAsia" w:ascii="宋体" w:hAnsi="宋体" w:eastAsia="宋体"/>
          <w:color w:val="auto"/>
          <w:sz w:val="21"/>
          <w:szCs w:val="21"/>
          <w:highlight w:val="none"/>
        </w:rPr>
        <w:t>乙方向甲方支付合同总金额【</w:t>
      </w:r>
      <w:r>
        <w:rPr>
          <w:rFonts w:hint="eastAsia" w:ascii="宋体" w:hAnsi="宋体" w:eastAsia="宋体"/>
          <w:color w:val="auto"/>
          <w:sz w:val="21"/>
          <w:szCs w:val="21"/>
          <w:highlight w:val="none"/>
          <w:lang w:val="en-US" w:eastAsia="zh-CN"/>
        </w:rPr>
        <w:t>3</w:t>
      </w:r>
      <w:r>
        <w:rPr>
          <w:rFonts w:hint="eastAsia" w:ascii="宋体" w:hAnsi="宋体" w:eastAsia="宋体"/>
          <w:color w:val="auto"/>
          <w:sz w:val="21"/>
          <w:szCs w:val="21"/>
          <w:highlight w:val="none"/>
        </w:rPr>
        <w:t>】%作为违约金</w:t>
      </w:r>
      <w:r>
        <w:rPr>
          <w:rFonts w:hint="eastAsia" w:ascii="宋体" w:hAnsi="宋体" w:eastAsia="宋体"/>
          <w:color w:val="auto"/>
          <w:sz w:val="21"/>
          <w:szCs w:val="21"/>
          <w:highlight w:val="none"/>
          <w:lang w:eastAsia="zh-CN"/>
        </w:rPr>
        <w:t>。</w:t>
      </w:r>
    </w:p>
    <w:p w14:paraId="22B13D30">
      <w:pPr>
        <w:spacing w:line="360" w:lineRule="auto"/>
        <w:ind w:firstLine="560"/>
        <w:rPr>
          <w:rFonts w:hint="default"/>
          <w:color w:val="auto"/>
          <w:sz w:val="21"/>
          <w:szCs w:val="21"/>
          <w:highlight w:val="none"/>
          <w:lang w:val="en-US" w:eastAsia="zh-CN"/>
        </w:rPr>
      </w:pPr>
      <w:r>
        <w:rPr>
          <w:rFonts w:hint="eastAsia"/>
          <w:color w:val="auto"/>
          <w:sz w:val="21"/>
          <w:szCs w:val="21"/>
          <w:highlight w:val="none"/>
          <w:lang w:val="en-US" w:eastAsia="zh-CN"/>
        </w:rPr>
        <w:t>5.泄露甲方宗教事务相关数据或违反保密义务的，乙方须支付暂定总价20%的违约金，造成甲方损失的，全额赔偿；涉嫌违法的，甲方有权移交司法机关处理；</w:t>
      </w:r>
    </w:p>
    <w:p w14:paraId="252365A2">
      <w:pPr>
        <w:spacing w:line="360" w:lineRule="auto"/>
        <w:rPr>
          <w:rFonts w:hint="eastAsia"/>
          <w:b/>
          <w:color w:val="auto"/>
          <w:sz w:val="21"/>
          <w:szCs w:val="21"/>
          <w:highlight w:val="none"/>
          <w:lang w:val="en-US" w:eastAsia="zh-CN"/>
        </w:rPr>
      </w:pPr>
      <w:r>
        <w:rPr>
          <w:rFonts w:hint="eastAsia" w:ascii="宋体" w:hAnsi="宋体" w:eastAsia="宋体"/>
          <w:b/>
          <w:color w:val="auto"/>
          <w:sz w:val="21"/>
          <w:szCs w:val="21"/>
          <w:highlight w:val="none"/>
        </w:rPr>
        <w:t>第九条　</w:t>
      </w:r>
      <w:r>
        <w:rPr>
          <w:rFonts w:hint="eastAsia"/>
          <w:b/>
          <w:color w:val="auto"/>
          <w:sz w:val="21"/>
          <w:szCs w:val="21"/>
          <w:highlight w:val="none"/>
          <w:lang w:val="en-US" w:eastAsia="zh-CN"/>
        </w:rPr>
        <w:t>保密与不可抗力</w:t>
      </w:r>
    </w:p>
    <w:p w14:paraId="4D3E4C64">
      <w:pPr>
        <w:spacing w:line="360" w:lineRule="auto"/>
        <w:ind w:firstLine="422" w:firstLineChars="200"/>
        <w:rPr>
          <w:rFonts w:hint="eastAsia"/>
          <w:b/>
          <w:color w:val="auto"/>
          <w:sz w:val="21"/>
          <w:szCs w:val="21"/>
          <w:highlight w:val="none"/>
          <w:lang w:val="en-US" w:eastAsia="zh-CN"/>
        </w:rPr>
      </w:pPr>
      <w:r>
        <w:rPr>
          <w:rFonts w:hint="eastAsia"/>
          <w:b/>
          <w:color w:val="auto"/>
          <w:sz w:val="21"/>
          <w:szCs w:val="21"/>
          <w:highlight w:val="none"/>
          <w:lang w:val="en-US" w:eastAsia="zh-CN"/>
        </w:rPr>
        <w:t>1.双方均对合同履行过程中获取的对方商业秘密、宗教事务敏感数据等信息承担保密义务，保密期限为合同终止后5年。未经对方书面许可，不得向任何第三方泄露。</w:t>
      </w:r>
    </w:p>
    <w:p w14:paraId="403950B2">
      <w:pPr>
        <w:spacing w:line="360" w:lineRule="auto"/>
        <w:ind w:firstLine="422" w:firstLineChars="200"/>
        <w:rPr>
          <w:rFonts w:hint="eastAsia"/>
          <w:b/>
          <w:color w:val="auto"/>
          <w:sz w:val="21"/>
          <w:szCs w:val="21"/>
          <w:highlight w:val="none"/>
          <w:lang w:val="en-US" w:eastAsia="zh-CN"/>
        </w:rPr>
      </w:pPr>
      <w:r>
        <w:rPr>
          <w:rFonts w:hint="eastAsia"/>
          <w:b/>
          <w:color w:val="auto"/>
          <w:sz w:val="21"/>
          <w:szCs w:val="21"/>
          <w:highlight w:val="none"/>
          <w:lang w:val="en-US" w:eastAsia="zh-CN"/>
        </w:rPr>
        <w:t>2.因不可抗力（如地震、战争、政策调整等）导致合同无法履行的，双方应及时通知对方并提供证明，可协商延期履行或解除合同，互不承担违约责任，但应采取措施减少损失。</w:t>
      </w:r>
    </w:p>
    <w:p w14:paraId="367230F9">
      <w:pPr>
        <w:spacing w:line="360" w:lineRule="auto"/>
        <w:ind w:firstLine="0" w:firstLineChars="0"/>
        <w:rPr>
          <w:rFonts w:hint="default"/>
          <w:b/>
          <w:color w:val="auto"/>
          <w:sz w:val="21"/>
          <w:szCs w:val="21"/>
          <w:highlight w:val="none"/>
          <w:lang w:val="en-US" w:eastAsia="zh-CN"/>
        </w:rPr>
      </w:pPr>
      <w:r>
        <w:rPr>
          <w:rFonts w:hint="eastAsia"/>
          <w:b/>
          <w:color w:val="auto"/>
          <w:sz w:val="21"/>
          <w:szCs w:val="21"/>
          <w:highlight w:val="none"/>
          <w:lang w:val="en-US" w:eastAsia="zh-CN"/>
        </w:rPr>
        <w:t>第十条  其他</w:t>
      </w:r>
    </w:p>
    <w:p w14:paraId="09531966">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1.本合同正文和附件均一式【</w:t>
      </w:r>
      <w:r>
        <w:rPr>
          <w:rFonts w:hint="eastAsia"/>
          <w:color w:val="auto"/>
          <w:sz w:val="21"/>
          <w:szCs w:val="21"/>
          <w:highlight w:val="none"/>
          <w:lang w:val="en-US" w:eastAsia="zh-CN"/>
        </w:rPr>
        <w:t>陆</w:t>
      </w:r>
      <w:r>
        <w:rPr>
          <w:rFonts w:hint="eastAsia" w:ascii="宋体" w:hAnsi="宋体" w:eastAsia="宋体"/>
          <w:color w:val="auto"/>
          <w:sz w:val="21"/>
          <w:szCs w:val="21"/>
          <w:highlight w:val="none"/>
        </w:rPr>
        <w:t>】份，具有同等法律效力，甲方执【</w:t>
      </w:r>
      <w:r>
        <w:rPr>
          <w:rFonts w:hint="eastAsia"/>
          <w:color w:val="auto"/>
          <w:sz w:val="21"/>
          <w:szCs w:val="21"/>
          <w:highlight w:val="none"/>
          <w:lang w:val="en-US" w:eastAsia="zh-CN"/>
        </w:rPr>
        <w:t>贰</w:t>
      </w:r>
      <w:r>
        <w:rPr>
          <w:rFonts w:hint="eastAsia" w:ascii="宋体" w:hAnsi="宋体" w:eastAsia="宋体"/>
          <w:color w:val="auto"/>
          <w:sz w:val="21"/>
          <w:szCs w:val="21"/>
          <w:highlight w:val="none"/>
        </w:rPr>
        <w:t>】份，乙方执【</w:t>
      </w:r>
      <w:r>
        <w:rPr>
          <w:rFonts w:ascii="宋体" w:hAnsi="宋体" w:eastAsia="宋体"/>
          <w:color w:val="auto"/>
          <w:sz w:val="21"/>
          <w:szCs w:val="21"/>
          <w:highlight w:val="none"/>
        </w:rPr>
        <w:t xml:space="preserve"> </w:t>
      </w:r>
      <w:r>
        <w:rPr>
          <w:rFonts w:hint="eastAsia"/>
          <w:color w:val="auto"/>
          <w:sz w:val="21"/>
          <w:szCs w:val="21"/>
          <w:highlight w:val="none"/>
          <w:lang w:val="en-US" w:eastAsia="zh-CN"/>
        </w:rPr>
        <w:t>贰</w:t>
      </w:r>
      <w:r>
        <w:rPr>
          <w:rFonts w:hint="eastAsia" w:ascii="宋体" w:hAnsi="宋体" w:eastAsia="宋体"/>
          <w:color w:val="auto"/>
          <w:sz w:val="21"/>
          <w:szCs w:val="21"/>
          <w:highlight w:val="none"/>
        </w:rPr>
        <w:t>】份，</w:t>
      </w:r>
      <w:r>
        <w:rPr>
          <w:rFonts w:hint="eastAsia"/>
          <w:color w:val="auto"/>
          <w:sz w:val="21"/>
          <w:szCs w:val="21"/>
          <w:highlight w:val="none"/>
          <w:lang w:val="en-US" w:eastAsia="zh-CN"/>
        </w:rPr>
        <w:t>政府有关部门备案</w:t>
      </w:r>
      <w:r>
        <w:rPr>
          <w:rFonts w:hint="eastAsia" w:ascii="宋体" w:hAnsi="宋体" w:eastAsia="宋体"/>
          <w:color w:val="auto"/>
          <w:sz w:val="21"/>
          <w:szCs w:val="21"/>
          <w:highlight w:val="none"/>
        </w:rPr>
        <w:t>【</w:t>
      </w:r>
      <w:r>
        <w:rPr>
          <w:rFonts w:hint="eastAsia"/>
          <w:color w:val="auto"/>
          <w:sz w:val="21"/>
          <w:szCs w:val="21"/>
          <w:highlight w:val="none"/>
          <w:lang w:val="en-US" w:eastAsia="zh-CN"/>
        </w:rPr>
        <w:t>贰</w:t>
      </w:r>
      <w:r>
        <w:rPr>
          <w:rFonts w:hint="eastAsia" w:ascii="宋体" w:hAnsi="宋体" w:eastAsia="宋体"/>
          <w:color w:val="auto"/>
          <w:sz w:val="21"/>
          <w:szCs w:val="21"/>
          <w:highlight w:val="none"/>
        </w:rPr>
        <w:t>】份</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各份具有同等的法律效力。</w:t>
      </w:r>
    </w:p>
    <w:p w14:paraId="49912DE0">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2.合同一经签订，不得擅自变更、中止或者终止合同，对确需变更、调整或者中止、终止合同的，应按规定履行相应的手续。对本合同条款（包括附件）的任何修改、变更或增减，须经双方授权代表人或法人代表亲笔签署书面文件才为有效，并成为本合同的组成部分，具有同等法律效力。</w:t>
      </w:r>
    </w:p>
    <w:p w14:paraId="2F37CDC2">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3.在此未包括的事宜将由双方此后通过协商决定，因此订立书面补充协议的，补充协议与本合同具有同等法律效力。</w:t>
      </w:r>
    </w:p>
    <w:p w14:paraId="67E1414C">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4.本合同的订立、履行和解释适用中国法律。</w:t>
      </w:r>
    </w:p>
    <w:p w14:paraId="150A00B2">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5.本合同未涉及到的部分，均按《中华人民共和国民法典》和其他中国法律法规的相关规定执行。</w:t>
      </w:r>
    </w:p>
    <w:p w14:paraId="7CC8881C">
      <w:pPr>
        <w:spacing w:line="360" w:lineRule="auto"/>
        <w:rPr>
          <w:rFonts w:ascii="宋体" w:hAnsi="宋体" w:eastAsia="宋体"/>
          <w:b/>
          <w:bCs/>
          <w:color w:val="auto"/>
          <w:sz w:val="21"/>
          <w:szCs w:val="21"/>
          <w:highlight w:val="none"/>
        </w:rPr>
      </w:pPr>
      <w:r>
        <w:rPr>
          <w:rFonts w:hint="eastAsia" w:ascii="宋体" w:hAnsi="宋体" w:eastAsia="宋体"/>
          <w:b/>
          <w:bCs/>
          <w:color w:val="auto"/>
          <w:sz w:val="21"/>
          <w:szCs w:val="21"/>
          <w:highlight w:val="none"/>
        </w:rPr>
        <w:t>第十条 合同争议解决的方式</w:t>
      </w:r>
    </w:p>
    <w:p w14:paraId="7E91265A">
      <w:pPr>
        <w:spacing w:line="360" w:lineRule="auto"/>
        <w:ind w:firstLine="560"/>
        <w:rPr>
          <w:rFonts w:hint="eastAsia" w:ascii="宋体" w:hAnsi="宋体" w:eastAsia="宋体"/>
          <w:color w:val="auto"/>
          <w:sz w:val="21"/>
          <w:szCs w:val="21"/>
          <w:highlight w:val="none"/>
          <w:lang w:val="en-US" w:eastAsia="zh-CN"/>
        </w:rPr>
      </w:pPr>
      <w:r>
        <w:rPr>
          <w:rFonts w:hint="eastAsia" w:ascii="宋体" w:hAnsi="宋体" w:eastAsia="宋体"/>
          <w:color w:val="auto"/>
          <w:sz w:val="21"/>
          <w:szCs w:val="21"/>
          <w:highlight w:val="none"/>
        </w:rPr>
        <w:t>本合同在履行过程中发生争议，由甲、乙双方当事人协商解决，协商不成的依法向甲方所在地人民法院起诉。</w:t>
      </w:r>
    </w:p>
    <w:p w14:paraId="024EA148">
      <w:pPr>
        <w:spacing w:line="360" w:lineRule="auto"/>
        <w:ind w:firstLine="560"/>
        <w:rPr>
          <w:rFonts w:hint="eastAsia" w:ascii="宋体" w:hAnsi="宋体" w:eastAsia="宋体"/>
          <w:color w:val="auto"/>
          <w:sz w:val="21"/>
          <w:szCs w:val="21"/>
          <w:highlight w:val="none"/>
        </w:rPr>
      </w:pPr>
    </w:p>
    <w:p w14:paraId="774AB50F">
      <w:pPr>
        <w:spacing w:line="360" w:lineRule="auto"/>
        <w:ind w:firstLine="560"/>
        <w:rPr>
          <w:rFonts w:ascii="宋体" w:hAnsi="宋体" w:eastAsia="宋体"/>
          <w:color w:val="auto"/>
          <w:sz w:val="21"/>
          <w:szCs w:val="21"/>
          <w:highlight w:val="none"/>
        </w:rPr>
      </w:pPr>
      <w:r>
        <w:rPr>
          <w:rFonts w:hint="eastAsia" w:ascii="宋体" w:hAnsi="宋体" w:eastAsia="宋体"/>
          <w:color w:val="auto"/>
          <w:sz w:val="21"/>
          <w:szCs w:val="21"/>
          <w:highlight w:val="none"/>
        </w:rPr>
        <w:t>（以下无正文）</w:t>
      </w:r>
    </w:p>
    <w:p w14:paraId="0B5D10DE">
      <w:pPr>
        <w:rPr>
          <w:color w:val="auto"/>
          <w:highlight w:val="none"/>
        </w:rPr>
      </w:pPr>
    </w:p>
    <w:tbl>
      <w:tblPr>
        <w:tblStyle w:val="5"/>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694"/>
        <w:gridCol w:w="1417"/>
        <w:gridCol w:w="3544"/>
      </w:tblGrid>
      <w:tr w14:paraId="2CA32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00A93BEC">
            <w:pPr>
              <w:spacing w:line="360" w:lineRule="auto"/>
              <w:jc w:val="center"/>
              <w:rPr>
                <w:color w:val="auto"/>
                <w:sz w:val="21"/>
                <w:szCs w:val="21"/>
                <w:highlight w:val="none"/>
              </w:rPr>
            </w:pPr>
            <w:r>
              <w:rPr>
                <w:rFonts w:hint="eastAsia"/>
                <w:b/>
                <w:color w:val="auto"/>
                <w:sz w:val="21"/>
                <w:szCs w:val="21"/>
                <w:highlight w:val="none"/>
              </w:rPr>
              <w:t>甲    方：</w:t>
            </w:r>
          </w:p>
        </w:tc>
        <w:tc>
          <w:tcPr>
            <w:tcW w:w="2694" w:type="dxa"/>
            <w:noWrap w:val="0"/>
            <w:vAlign w:val="top"/>
          </w:tcPr>
          <w:p w14:paraId="501DD8D0">
            <w:pPr>
              <w:spacing w:line="360" w:lineRule="auto"/>
              <w:rPr>
                <w:b/>
                <w:color w:val="auto"/>
                <w:sz w:val="21"/>
                <w:szCs w:val="21"/>
                <w:highlight w:val="none"/>
              </w:rPr>
            </w:pPr>
            <w:r>
              <w:rPr>
                <w:rFonts w:hint="eastAsia"/>
                <w:b/>
                <w:color w:val="auto"/>
                <w:sz w:val="21"/>
                <w:szCs w:val="21"/>
                <w:highlight w:val="none"/>
              </w:rPr>
              <w:t>（章）</w:t>
            </w:r>
          </w:p>
        </w:tc>
        <w:tc>
          <w:tcPr>
            <w:tcW w:w="1417" w:type="dxa"/>
            <w:noWrap w:val="0"/>
            <w:vAlign w:val="top"/>
          </w:tcPr>
          <w:p w14:paraId="64EB8F1D">
            <w:pPr>
              <w:spacing w:line="360" w:lineRule="auto"/>
              <w:jc w:val="center"/>
              <w:rPr>
                <w:color w:val="auto"/>
                <w:sz w:val="21"/>
                <w:szCs w:val="21"/>
                <w:highlight w:val="none"/>
              </w:rPr>
            </w:pPr>
            <w:r>
              <w:rPr>
                <w:rFonts w:hint="eastAsia"/>
                <w:b/>
                <w:color w:val="auto"/>
                <w:sz w:val="21"/>
                <w:szCs w:val="21"/>
                <w:highlight w:val="none"/>
              </w:rPr>
              <w:t>乙    方：</w:t>
            </w:r>
          </w:p>
        </w:tc>
        <w:tc>
          <w:tcPr>
            <w:tcW w:w="3544" w:type="dxa"/>
            <w:noWrap w:val="0"/>
            <w:vAlign w:val="top"/>
          </w:tcPr>
          <w:p w14:paraId="0C13830F">
            <w:pPr>
              <w:spacing w:line="360" w:lineRule="auto"/>
              <w:rPr>
                <w:b/>
                <w:color w:val="auto"/>
                <w:sz w:val="21"/>
                <w:szCs w:val="21"/>
                <w:highlight w:val="none"/>
              </w:rPr>
            </w:pPr>
          </w:p>
        </w:tc>
      </w:tr>
      <w:tr w14:paraId="3845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54154495">
            <w:pPr>
              <w:spacing w:line="360" w:lineRule="auto"/>
              <w:jc w:val="center"/>
              <w:rPr>
                <w:color w:val="auto"/>
                <w:sz w:val="21"/>
                <w:szCs w:val="21"/>
                <w:highlight w:val="none"/>
              </w:rPr>
            </w:pPr>
            <w:r>
              <w:rPr>
                <w:rFonts w:hint="eastAsia"/>
                <w:color w:val="auto"/>
                <w:sz w:val="21"/>
                <w:szCs w:val="21"/>
                <w:highlight w:val="none"/>
              </w:rPr>
              <w:t>单位地址</w:t>
            </w:r>
          </w:p>
        </w:tc>
        <w:tc>
          <w:tcPr>
            <w:tcW w:w="2694" w:type="dxa"/>
            <w:noWrap w:val="0"/>
            <w:vAlign w:val="top"/>
          </w:tcPr>
          <w:p w14:paraId="1C2DDBC4">
            <w:pPr>
              <w:spacing w:line="360" w:lineRule="auto"/>
              <w:rPr>
                <w:color w:val="auto"/>
                <w:sz w:val="21"/>
                <w:szCs w:val="21"/>
                <w:highlight w:val="none"/>
              </w:rPr>
            </w:pPr>
          </w:p>
        </w:tc>
        <w:tc>
          <w:tcPr>
            <w:tcW w:w="1417" w:type="dxa"/>
            <w:noWrap w:val="0"/>
            <w:vAlign w:val="top"/>
          </w:tcPr>
          <w:p w14:paraId="729EC631">
            <w:pPr>
              <w:spacing w:line="360" w:lineRule="auto"/>
              <w:jc w:val="center"/>
              <w:rPr>
                <w:color w:val="auto"/>
                <w:sz w:val="21"/>
                <w:szCs w:val="21"/>
                <w:highlight w:val="none"/>
              </w:rPr>
            </w:pPr>
            <w:r>
              <w:rPr>
                <w:rFonts w:hint="eastAsia"/>
                <w:color w:val="auto"/>
                <w:sz w:val="21"/>
                <w:szCs w:val="21"/>
                <w:highlight w:val="none"/>
              </w:rPr>
              <w:t>单位地址</w:t>
            </w:r>
          </w:p>
        </w:tc>
        <w:tc>
          <w:tcPr>
            <w:tcW w:w="3544" w:type="dxa"/>
            <w:noWrap w:val="0"/>
            <w:vAlign w:val="top"/>
          </w:tcPr>
          <w:p w14:paraId="78512F50">
            <w:pPr>
              <w:spacing w:line="360" w:lineRule="auto"/>
              <w:rPr>
                <w:color w:val="auto"/>
                <w:sz w:val="21"/>
                <w:szCs w:val="21"/>
                <w:highlight w:val="none"/>
              </w:rPr>
            </w:pPr>
          </w:p>
        </w:tc>
      </w:tr>
      <w:tr w14:paraId="425AA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026229E5">
            <w:pPr>
              <w:spacing w:line="360" w:lineRule="auto"/>
              <w:jc w:val="center"/>
              <w:rPr>
                <w:color w:val="auto"/>
                <w:sz w:val="21"/>
                <w:szCs w:val="21"/>
                <w:highlight w:val="none"/>
              </w:rPr>
            </w:pPr>
            <w:r>
              <w:rPr>
                <w:rFonts w:hint="eastAsia"/>
                <w:color w:val="auto"/>
                <w:sz w:val="21"/>
                <w:szCs w:val="21"/>
                <w:highlight w:val="none"/>
              </w:rPr>
              <w:t>电  话</w:t>
            </w:r>
          </w:p>
        </w:tc>
        <w:tc>
          <w:tcPr>
            <w:tcW w:w="2694" w:type="dxa"/>
            <w:noWrap w:val="0"/>
            <w:vAlign w:val="top"/>
          </w:tcPr>
          <w:p w14:paraId="2881D6BA">
            <w:pPr>
              <w:spacing w:line="360" w:lineRule="auto"/>
              <w:rPr>
                <w:color w:val="auto"/>
                <w:sz w:val="21"/>
                <w:szCs w:val="21"/>
                <w:highlight w:val="none"/>
              </w:rPr>
            </w:pPr>
          </w:p>
        </w:tc>
        <w:tc>
          <w:tcPr>
            <w:tcW w:w="1417" w:type="dxa"/>
            <w:noWrap w:val="0"/>
            <w:vAlign w:val="top"/>
          </w:tcPr>
          <w:p w14:paraId="07F0E791">
            <w:pPr>
              <w:spacing w:line="360" w:lineRule="auto"/>
              <w:jc w:val="center"/>
              <w:rPr>
                <w:color w:val="auto"/>
                <w:sz w:val="21"/>
                <w:szCs w:val="21"/>
                <w:highlight w:val="none"/>
              </w:rPr>
            </w:pPr>
            <w:r>
              <w:rPr>
                <w:rFonts w:hint="eastAsia"/>
                <w:color w:val="auto"/>
                <w:sz w:val="21"/>
                <w:szCs w:val="21"/>
                <w:highlight w:val="none"/>
              </w:rPr>
              <w:t>电  话</w:t>
            </w:r>
          </w:p>
        </w:tc>
        <w:tc>
          <w:tcPr>
            <w:tcW w:w="3544" w:type="dxa"/>
            <w:noWrap w:val="0"/>
            <w:vAlign w:val="top"/>
          </w:tcPr>
          <w:p w14:paraId="473C98DA">
            <w:pPr>
              <w:spacing w:line="360" w:lineRule="auto"/>
              <w:rPr>
                <w:color w:val="auto"/>
                <w:sz w:val="21"/>
                <w:szCs w:val="21"/>
                <w:highlight w:val="none"/>
              </w:rPr>
            </w:pPr>
          </w:p>
        </w:tc>
      </w:tr>
      <w:tr w14:paraId="1B80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2C39BCB2">
            <w:pPr>
              <w:spacing w:line="360" w:lineRule="auto"/>
              <w:jc w:val="center"/>
              <w:rPr>
                <w:color w:val="auto"/>
                <w:sz w:val="21"/>
                <w:szCs w:val="21"/>
                <w:highlight w:val="none"/>
              </w:rPr>
            </w:pPr>
            <w:r>
              <w:rPr>
                <w:rFonts w:hint="eastAsia"/>
                <w:color w:val="auto"/>
                <w:sz w:val="21"/>
                <w:szCs w:val="21"/>
                <w:highlight w:val="none"/>
              </w:rPr>
              <w:t>银  行</w:t>
            </w:r>
          </w:p>
        </w:tc>
        <w:tc>
          <w:tcPr>
            <w:tcW w:w="2694" w:type="dxa"/>
            <w:noWrap w:val="0"/>
            <w:vAlign w:val="top"/>
          </w:tcPr>
          <w:p w14:paraId="0D300434">
            <w:pPr>
              <w:spacing w:line="360" w:lineRule="auto"/>
              <w:rPr>
                <w:color w:val="auto"/>
                <w:sz w:val="21"/>
                <w:szCs w:val="21"/>
                <w:highlight w:val="none"/>
              </w:rPr>
            </w:pPr>
          </w:p>
        </w:tc>
        <w:tc>
          <w:tcPr>
            <w:tcW w:w="1417" w:type="dxa"/>
            <w:noWrap w:val="0"/>
            <w:vAlign w:val="top"/>
          </w:tcPr>
          <w:p w14:paraId="0DA82C6F">
            <w:pPr>
              <w:spacing w:line="360" w:lineRule="auto"/>
              <w:jc w:val="center"/>
              <w:rPr>
                <w:color w:val="auto"/>
                <w:sz w:val="21"/>
                <w:szCs w:val="21"/>
                <w:highlight w:val="none"/>
              </w:rPr>
            </w:pPr>
            <w:r>
              <w:rPr>
                <w:rFonts w:hint="eastAsia"/>
                <w:color w:val="auto"/>
                <w:sz w:val="21"/>
                <w:szCs w:val="21"/>
                <w:highlight w:val="none"/>
              </w:rPr>
              <w:t>开户银行</w:t>
            </w:r>
          </w:p>
        </w:tc>
        <w:tc>
          <w:tcPr>
            <w:tcW w:w="3544" w:type="dxa"/>
            <w:noWrap w:val="0"/>
            <w:vAlign w:val="top"/>
          </w:tcPr>
          <w:p w14:paraId="54126CB0">
            <w:pPr>
              <w:spacing w:line="360" w:lineRule="auto"/>
              <w:rPr>
                <w:color w:val="auto"/>
                <w:sz w:val="21"/>
                <w:szCs w:val="21"/>
                <w:highlight w:val="none"/>
              </w:rPr>
            </w:pPr>
          </w:p>
        </w:tc>
      </w:tr>
      <w:tr w14:paraId="1BC5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1068EB87">
            <w:pPr>
              <w:spacing w:line="360" w:lineRule="auto"/>
              <w:jc w:val="center"/>
              <w:rPr>
                <w:color w:val="auto"/>
                <w:sz w:val="21"/>
                <w:szCs w:val="21"/>
                <w:highlight w:val="none"/>
              </w:rPr>
            </w:pPr>
            <w:r>
              <w:rPr>
                <w:rFonts w:hint="eastAsia"/>
                <w:color w:val="auto"/>
                <w:sz w:val="21"/>
                <w:szCs w:val="21"/>
                <w:highlight w:val="none"/>
              </w:rPr>
              <w:t>账  号</w:t>
            </w:r>
          </w:p>
        </w:tc>
        <w:tc>
          <w:tcPr>
            <w:tcW w:w="2694" w:type="dxa"/>
            <w:noWrap w:val="0"/>
            <w:vAlign w:val="top"/>
          </w:tcPr>
          <w:p w14:paraId="2FE7724C">
            <w:pPr>
              <w:spacing w:line="360" w:lineRule="auto"/>
              <w:rPr>
                <w:color w:val="auto"/>
                <w:sz w:val="21"/>
                <w:szCs w:val="21"/>
                <w:highlight w:val="none"/>
              </w:rPr>
            </w:pPr>
          </w:p>
        </w:tc>
        <w:tc>
          <w:tcPr>
            <w:tcW w:w="1417" w:type="dxa"/>
            <w:noWrap w:val="0"/>
            <w:vAlign w:val="top"/>
          </w:tcPr>
          <w:p w14:paraId="15E1594F">
            <w:pPr>
              <w:spacing w:line="360" w:lineRule="auto"/>
              <w:jc w:val="center"/>
              <w:rPr>
                <w:color w:val="auto"/>
                <w:sz w:val="21"/>
                <w:szCs w:val="21"/>
                <w:highlight w:val="none"/>
              </w:rPr>
            </w:pPr>
            <w:r>
              <w:rPr>
                <w:rFonts w:hint="eastAsia"/>
                <w:color w:val="auto"/>
                <w:sz w:val="21"/>
                <w:szCs w:val="21"/>
                <w:highlight w:val="none"/>
              </w:rPr>
              <w:t>账  号</w:t>
            </w:r>
          </w:p>
        </w:tc>
        <w:tc>
          <w:tcPr>
            <w:tcW w:w="3544" w:type="dxa"/>
            <w:noWrap w:val="0"/>
            <w:vAlign w:val="top"/>
          </w:tcPr>
          <w:p w14:paraId="0191403E">
            <w:pPr>
              <w:spacing w:line="360" w:lineRule="auto"/>
              <w:rPr>
                <w:color w:val="auto"/>
                <w:sz w:val="21"/>
                <w:szCs w:val="21"/>
                <w:highlight w:val="none"/>
              </w:rPr>
            </w:pPr>
          </w:p>
        </w:tc>
      </w:tr>
      <w:tr w14:paraId="534DA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5FF4AFF3">
            <w:pPr>
              <w:spacing w:line="360" w:lineRule="auto"/>
              <w:jc w:val="center"/>
              <w:rPr>
                <w:color w:val="auto"/>
                <w:sz w:val="21"/>
                <w:szCs w:val="21"/>
                <w:highlight w:val="none"/>
              </w:rPr>
            </w:pPr>
            <w:r>
              <w:rPr>
                <w:rFonts w:hint="eastAsia"/>
                <w:color w:val="auto"/>
                <w:sz w:val="21"/>
                <w:szCs w:val="21"/>
                <w:highlight w:val="none"/>
              </w:rPr>
              <w:t>委托代理人或法定代表人</w:t>
            </w:r>
          </w:p>
        </w:tc>
        <w:tc>
          <w:tcPr>
            <w:tcW w:w="2694" w:type="dxa"/>
            <w:noWrap w:val="0"/>
            <w:vAlign w:val="top"/>
          </w:tcPr>
          <w:p w14:paraId="277FF6EB">
            <w:pPr>
              <w:spacing w:line="360" w:lineRule="auto"/>
              <w:rPr>
                <w:color w:val="auto"/>
                <w:sz w:val="21"/>
                <w:szCs w:val="21"/>
                <w:highlight w:val="none"/>
              </w:rPr>
            </w:pPr>
          </w:p>
        </w:tc>
        <w:tc>
          <w:tcPr>
            <w:tcW w:w="1417" w:type="dxa"/>
            <w:noWrap w:val="0"/>
            <w:vAlign w:val="top"/>
          </w:tcPr>
          <w:p w14:paraId="291E8EDB">
            <w:pPr>
              <w:spacing w:line="360" w:lineRule="auto"/>
              <w:jc w:val="center"/>
              <w:rPr>
                <w:color w:val="auto"/>
                <w:sz w:val="21"/>
                <w:szCs w:val="21"/>
                <w:highlight w:val="none"/>
              </w:rPr>
            </w:pPr>
            <w:r>
              <w:rPr>
                <w:rFonts w:hint="eastAsia"/>
                <w:color w:val="auto"/>
                <w:sz w:val="21"/>
                <w:szCs w:val="21"/>
                <w:highlight w:val="none"/>
              </w:rPr>
              <w:t>法定代表人</w:t>
            </w:r>
          </w:p>
        </w:tc>
        <w:tc>
          <w:tcPr>
            <w:tcW w:w="3544" w:type="dxa"/>
            <w:noWrap w:val="0"/>
            <w:vAlign w:val="top"/>
          </w:tcPr>
          <w:p w14:paraId="720E662A">
            <w:pPr>
              <w:spacing w:line="360" w:lineRule="auto"/>
              <w:rPr>
                <w:color w:val="auto"/>
                <w:sz w:val="21"/>
                <w:szCs w:val="21"/>
                <w:highlight w:val="none"/>
              </w:rPr>
            </w:pPr>
          </w:p>
          <w:p w14:paraId="31093809">
            <w:pPr>
              <w:spacing w:line="360" w:lineRule="auto"/>
              <w:rPr>
                <w:color w:val="auto"/>
                <w:sz w:val="21"/>
                <w:szCs w:val="21"/>
                <w:highlight w:val="none"/>
              </w:rPr>
            </w:pPr>
          </w:p>
        </w:tc>
      </w:tr>
      <w:tr w14:paraId="5BB8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noWrap w:val="0"/>
            <w:vAlign w:val="top"/>
          </w:tcPr>
          <w:p w14:paraId="07886738">
            <w:pPr>
              <w:spacing w:line="360" w:lineRule="auto"/>
              <w:jc w:val="center"/>
              <w:rPr>
                <w:color w:val="auto"/>
                <w:sz w:val="21"/>
                <w:szCs w:val="21"/>
                <w:highlight w:val="none"/>
              </w:rPr>
            </w:pPr>
            <w:r>
              <w:rPr>
                <w:rFonts w:hint="eastAsia"/>
                <w:color w:val="auto"/>
                <w:sz w:val="21"/>
                <w:szCs w:val="21"/>
                <w:highlight w:val="none"/>
              </w:rPr>
              <w:t>签订日期</w:t>
            </w:r>
          </w:p>
        </w:tc>
        <w:tc>
          <w:tcPr>
            <w:tcW w:w="2694" w:type="dxa"/>
            <w:noWrap w:val="0"/>
            <w:vAlign w:val="top"/>
          </w:tcPr>
          <w:p w14:paraId="12386D76">
            <w:pPr>
              <w:spacing w:line="360" w:lineRule="auto"/>
              <w:ind w:firstLine="840" w:firstLineChars="400"/>
              <w:rPr>
                <w:color w:val="auto"/>
                <w:sz w:val="21"/>
                <w:szCs w:val="21"/>
                <w:highlight w:val="none"/>
              </w:rPr>
            </w:pPr>
            <w:r>
              <w:rPr>
                <w:rFonts w:hint="eastAsia"/>
                <w:color w:val="auto"/>
                <w:sz w:val="21"/>
                <w:szCs w:val="21"/>
                <w:highlight w:val="none"/>
              </w:rPr>
              <w:t xml:space="preserve">年  </w:t>
            </w:r>
            <w:r>
              <w:rPr>
                <w:color w:val="auto"/>
                <w:sz w:val="21"/>
                <w:szCs w:val="21"/>
                <w:highlight w:val="none"/>
              </w:rPr>
              <w:t xml:space="preserve"> </w:t>
            </w:r>
            <w:r>
              <w:rPr>
                <w:rFonts w:hint="eastAsia"/>
                <w:color w:val="auto"/>
                <w:sz w:val="21"/>
                <w:szCs w:val="21"/>
                <w:highlight w:val="none"/>
              </w:rPr>
              <w:t xml:space="preserve">月 </w:t>
            </w:r>
            <w:r>
              <w:rPr>
                <w:color w:val="auto"/>
                <w:sz w:val="21"/>
                <w:szCs w:val="21"/>
                <w:highlight w:val="none"/>
              </w:rPr>
              <w:t xml:space="preserve">  </w:t>
            </w:r>
            <w:r>
              <w:rPr>
                <w:rFonts w:hint="eastAsia"/>
                <w:color w:val="auto"/>
                <w:sz w:val="21"/>
                <w:szCs w:val="21"/>
                <w:highlight w:val="none"/>
              </w:rPr>
              <w:t>日</w:t>
            </w:r>
          </w:p>
        </w:tc>
        <w:tc>
          <w:tcPr>
            <w:tcW w:w="1417" w:type="dxa"/>
            <w:noWrap w:val="0"/>
            <w:vAlign w:val="top"/>
          </w:tcPr>
          <w:p w14:paraId="797C9F6B">
            <w:pPr>
              <w:spacing w:line="360" w:lineRule="auto"/>
              <w:jc w:val="center"/>
              <w:rPr>
                <w:color w:val="auto"/>
                <w:sz w:val="21"/>
                <w:szCs w:val="21"/>
                <w:highlight w:val="none"/>
              </w:rPr>
            </w:pPr>
            <w:r>
              <w:rPr>
                <w:rFonts w:hint="eastAsia"/>
                <w:color w:val="auto"/>
                <w:sz w:val="21"/>
                <w:szCs w:val="21"/>
                <w:highlight w:val="none"/>
              </w:rPr>
              <w:t>签订日期</w:t>
            </w:r>
          </w:p>
        </w:tc>
        <w:tc>
          <w:tcPr>
            <w:tcW w:w="3544" w:type="dxa"/>
            <w:noWrap w:val="0"/>
            <w:vAlign w:val="top"/>
          </w:tcPr>
          <w:p w14:paraId="6F7222B6">
            <w:pPr>
              <w:spacing w:line="360" w:lineRule="auto"/>
              <w:ind w:firstLine="1470" w:firstLineChars="700"/>
              <w:rPr>
                <w:color w:val="auto"/>
                <w:sz w:val="21"/>
                <w:szCs w:val="21"/>
                <w:highlight w:val="none"/>
              </w:rPr>
            </w:pPr>
            <w:r>
              <w:rPr>
                <w:rFonts w:hint="eastAsia"/>
                <w:color w:val="auto"/>
                <w:sz w:val="21"/>
                <w:szCs w:val="21"/>
                <w:highlight w:val="none"/>
              </w:rPr>
              <w:t xml:space="preserve">年  </w:t>
            </w:r>
            <w:r>
              <w:rPr>
                <w:color w:val="auto"/>
                <w:sz w:val="21"/>
                <w:szCs w:val="21"/>
                <w:highlight w:val="none"/>
              </w:rPr>
              <w:t xml:space="preserve"> </w:t>
            </w:r>
            <w:r>
              <w:rPr>
                <w:rFonts w:hint="eastAsia"/>
                <w:color w:val="auto"/>
                <w:sz w:val="21"/>
                <w:szCs w:val="21"/>
                <w:highlight w:val="none"/>
              </w:rPr>
              <w:t xml:space="preserve">月 </w:t>
            </w:r>
            <w:r>
              <w:rPr>
                <w:color w:val="auto"/>
                <w:sz w:val="21"/>
                <w:szCs w:val="21"/>
                <w:highlight w:val="none"/>
              </w:rPr>
              <w:t xml:space="preserve">  </w:t>
            </w:r>
            <w:r>
              <w:rPr>
                <w:rFonts w:hint="eastAsia"/>
                <w:color w:val="auto"/>
                <w:sz w:val="21"/>
                <w:szCs w:val="21"/>
                <w:highlight w:val="none"/>
              </w:rPr>
              <w:t>日</w:t>
            </w:r>
          </w:p>
        </w:tc>
      </w:tr>
    </w:tbl>
    <w:p w14:paraId="3735749D">
      <w:pPr>
        <w:pStyle w:val="2"/>
        <w:spacing w:before="7" w:line="360" w:lineRule="auto"/>
        <w:ind w:left="0"/>
        <w:rPr>
          <w:rFonts w:hint="eastAsia" w:ascii="宋体" w:hAnsi="宋体" w:eastAsia="宋体" w:cs="宋体"/>
          <w:i w:val="0"/>
          <w:iCs w:val="0"/>
          <w:sz w:val="15"/>
          <w:highlight w:val="none"/>
        </w:rPr>
      </w:pPr>
    </w:p>
    <w:p w14:paraId="0F37AB04"/>
    <w:sectPr>
      <w:pgSz w:w="11900" w:h="16840"/>
      <w:pgMar w:top="1440" w:right="1080" w:bottom="1440" w:left="1080" w:header="0" w:footer="1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80300"/>
    <w:rsid w:val="35080300"/>
    <w:rsid w:val="6B253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rFonts w:ascii="宋体" w:hAnsi="宋体" w:eastAsia="宋体" w:cs="宋体"/>
      <w:sz w:val="19"/>
      <w:szCs w:val="19"/>
    </w:rPr>
  </w:style>
  <w:style w:type="paragraph" w:styleId="3">
    <w:name w:val="Body Text Indent"/>
    <w:basedOn w:val="1"/>
    <w:qFormat/>
    <w:uiPriority w:val="0"/>
    <w:pPr>
      <w:ind w:firstLine="552"/>
    </w:pPr>
    <w:rPr>
      <w:rFonts w:ascii="宋体"/>
      <w:sz w:val="28"/>
    </w:rPr>
  </w:style>
  <w:style w:type="paragraph" w:styleId="4">
    <w:name w:val="footer"/>
    <w:basedOn w:val="1"/>
    <w:next w:val="2"/>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7">
    <w:name w:val="表格文字"/>
    <w:basedOn w:val="1"/>
    <w:qFormat/>
    <w:uiPriority w:val="0"/>
    <w:pPr>
      <w:spacing w:line="240" w:lineRule="auto"/>
      <w:ind w:firstLine="0" w:firstLineChars="0"/>
      <w:jc w:val="center"/>
    </w:pPr>
    <w:rPr>
      <w:rFonts w:ascii="Times New Roman" w:hAnsi="Times New Roman"/>
      <w:sz w:val="2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4598</Words>
  <Characters>4657</Characters>
  <Lines>0</Lines>
  <Paragraphs>0</Paragraphs>
  <TotalTime>0</TotalTime>
  <ScaleCrop>false</ScaleCrop>
  <LinksUpToDate>false</LinksUpToDate>
  <CharactersWithSpaces>4915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2025-11-14T06:28:00Z</dcterms:created>
  <dc:creator>WPS_1728715767</dc:creator>
  <cp:lastModifiedBy>曹依凡</cp:lastModifiedBy>
  <dcterms:modified xsi:type="dcterms:W3CDTF">2025-11-24T03:08:41Z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1C35211DA4C54F94964B7388B3A15297_11</vt:lpwstr>
  </property>
  <property fmtid="{D5CDD505-2E9C-101B-9397-08002B2CF9AE}" pid="4" name="KSOTemplateDocerSaveRecord">
    <vt:lpwstr>eyJoZGlkIjoiODViY2JkMjU3NGYzZTEwMzZmMGFkZWViYmNkYWU3NDIiLCJ1c2VySWQiOiIzODEzNjQyNDcifQ==</vt:lpwstr>
  </property>
</Properties>
</file>