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F7694">
      <w:pPr>
        <w:pStyle w:val="4"/>
        <w:shd w:val="clear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详见附件：分项报价表</w:t>
      </w:r>
    </w:p>
    <w:tbl>
      <w:tblPr>
        <w:tblStyle w:val="2"/>
        <w:tblW w:w="10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9"/>
        <w:gridCol w:w="1997"/>
        <w:gridCol w:w="1807"/>
        <w:gridCol w:w="1285"/>
        <w:gridCol w:w="1285"/>
        <w:gridCol w:w="1498"/>
        <w:gridCol w:w="1555"/>
      </w:tblGrid>
      <w:tr w14:paraId="75C0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  <w:jc w:val="center"/>
        </w:trPr>
        <w:tc>
          <w:tcPr>
            <w:tcW w:w="789" w:type="dxa"/>
            <w:noWrap/>
            <w:vAlign w:val="center"/>
          </w:tcPr>
          <w:p w14:paraId="01D043A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97" w:type="dxa"/>
            <w:noWrap/>
            <w:vAlign w:val="center"/>
          </w:tcPr>
          <w:p w14:paraId="74BF648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分项名称</w:t>
            </w:r>
          </w:p>
        </w:tc>
        <w:tc>
          <w:tcPr>
            <w:tcW w:w="1807" w:type="dxa"/>
            <w:noWrap w:val="0"/>
            <w:vAlign w:val="center"/>
          </w:tcPr>
          <w:p w14:paraId="127C21C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生产厂家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/品牌</w:t>
            </w:r>
          </w:p>
        </w:tc>
        <w:tc>
          <w:tcPr>
            <w:tcW w:w="1285" w:type="dxa"/>
            <w:noWrap/>
            <w:vAlign w:val="center"/>
          </w:tcPr>
          <w:p w14:paraId="57B17AA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285" w:type="dxa"/>
            <w:noWrap/>
            <w:vAlign w:val="center"/>
          </w:tcPr>
          <w:p w14:paraId="21D0D09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采购数量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及单位</w:t>
            </w:r>
          </w:p>
        </w:tc>
        <w:tc>
          <w:tcPr>
            <w:tcW w:w="1498" w:type="dxa"/>
            <w:noWrap/>
            <w:vAlign w:val="center"/>
          </w:tcPr>
          <w:p w14:paraId="3B25085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单价报价</w:t>
            </w:r>
          </w:p>
          <w:p w14:paraId="4874D55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555" w:type="dxa"/>
            <w:noWrap/>
            <w:vAlign w:val="center"/>
          </w:tcPr>
          <w:p w14:paraId="1D02874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合价</w:t>
            </w:r>
          </w:p>
          <w:p w14:paraId="3545791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</w:tr>
      <w:tr w14:paraId="3F39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6F966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97" w:type="dxa"/>
            <w:noWrap/>
            <w:vAlign w:val="center"/>
          </w:tcPr>
          <w:p w14:paraId="0A59D8C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70D4463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246E85F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1A17214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2485AD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5AE01E6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3C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8AB3C8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97" w:type="dxa"/>
            <w:noWrap/>
            <w:vAlign w:val="center"/>
          </w:tcPr>
          <w:p w14:paraId="112ABCE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78DC5EC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562751F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634379E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7ED6E4F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1DDC877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64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35A60E6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97" w:type="dxa"/>
            <w:noWrap/>
            <w:vAlign w:val="center"/>
          </w:tcPr>
          <w:p w14:paraId="64014C0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64AADEF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64D46F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035456B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367AD60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4725E06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05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041521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97" w:type="dxa"/>
            <w:noWrap/>
            <w:vAlign w:val="center"/>
          </w:tcPr>
          <w:p w14:paraId="5D8CFB4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2A912E8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7E3C07B0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7F4A801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03CC59F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70FCF5B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43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2F2014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97" w:type="dxa"/>
            <w:noWrap/>
            <w:vAlign w:val="center"/>
          </w:tcPr>
          <w:p w14:paraId="2B2B5B7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3989ABD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1C3267E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1B37F28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33D77D1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75496B4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80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CD3DC9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997" w:type="dxa"/>
            <w:noWrap/>
            <w:vAlign w:val="center"/>
          </w:tcPr>
          <w:p w14:paraId="4F44CDB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7DC6002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2E4BEE3D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2843393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13974D7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6FA5EBB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3A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49DF344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997" w:type="dxa"/>
            <w:noWrap/>
            <w:vAlign w:val="center"/>
          </w:tcPr>
          <w:p w14:paraId="5CC11EC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4617D3E7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175AF2A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5FEFF272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147CCE9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26EA35A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BB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38A80C88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997" w:type="dxa"/>
            <w:noWrap/>
            <w:vAlign w:val="center"/>
          </w:tcPr>
          <w:p w14:paraId="5C9BC28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44456A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74B4D57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7C93FF2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53E9F98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757CA9A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7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31E0B05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997" w:type="dxa"/>
            <w:noWrap/>
            <w:vAlign w:val="center"/>
          </w:tcPr>
          <w:p w14:paraId="315FCE6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04552364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18BD3496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329937E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6B24541F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742329E9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2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789" w:type="dxa"/>
            <w:noWrap/>
            <w:vAlign w:val="center"/>
          </w:tcPr>
          <w:p w14:paraId="0755CF4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97" w:type="dxa"/>
            <w:noWrap/>
            <w:vAlign w:val="center"/>
          </w:tcPr>
          <w:p w14:paraId="0E445BF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noWrap w:val="0"/>
            <w:vAlign w:val="center"/>
          </w:tcPr>
          <w:p w14:paraId="74E6D15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5E9AB7D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noWrap/>
            <w:vAlign w:val="center"/>
          </w:tcPr>
          <w:p w14:paraId="7CC4399C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noWrap/>
            <w:vAlign w:val="center"/>
          </w:tcPr>
          <w:p w14:paraId="1E5DC7FE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noWrap/>
            <w:vAlign w:val="center"/>
          </w:tcPr>
          <w:p w14:paraId="27CD7111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FB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9" w:hRule="atLeast"/>
          <w:jc w:val="center"/>
        </w:trPr>
        <w:tc>
          <w:tcPr>
            <w:tcW w:w="4593" w:type="dxa"/>
            <w:gridSpan w:val="3"/>
            <w:noWrap/>
            <w:vAlign w:val="center"/>
          </w:tcPr>
          <w:p w14:paraId="438CD5F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1285" w:type="dxa"/>
            <w:noWrap/>
            <w:vAlign w:val="center"/>
          </w:tcPr>
          <w:p w14:paraId="63B8983A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8" w:type="dxa"/>
            <w:gridSpan w:val="3"/>
            <w:noWrap/>
            <w:vAlign w:val="center"/>
          </w:tcPr>
          <w:p w14:paraId="6CC5C06B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 w14:paraId="3DD9E613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小写：¥: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</w:tc>
      </w:tr>
    </w:tbl>
    <w:p w14:paraId="71711FB3">
      <w:pPr>
        <w:shd w:val="clear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1.分项报价</w:t>
      </w:r>
      <w:r>
        <w:rPr>
          <w:rFonts w:ascii="宋体" w:hAnsi="宋体"/>
          <w:b/>
          <w:bCs/>
          <w:sz w:val="24"/>
          <w:szCs w:val="24"/>
          <w:highlight w:val="none"/>
        </w:rPr>
        <w:t>表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中</w:t>
      </w:r>
      <w:r>
        <w:rPr>
          <w:rFonts w:ascii="宋体" w:hAnsi="宋体"/>
          <w:b/>
          <w:bCs/>
          <w:sz w:val="24"/>
          <w:szCs w:val="24"/>
          <w:highlight w:val="none"/>
        </w:rPr>
        <w:t>的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总价合计金额</w:t>
      </w:r>
      <w:r>
        <w:rPr>
          <w:rFonts w:ascii="宋体" w:hAnsi="宋体"/>
          <w:b/>
          <w:bCs/>
          <w:sz w:val="24"/>
          <w:szCs w:val="24"/>
          <w:highlight w:val="none"/>
        </w:rPr>
        <w:t>与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报价表</w:t>
      </w:r>
      <w:r>
        <w:rPr>
          <w:rFonts w:ascii="宋体" w:hAnsi="宋体"/>
          <w:b/>
          <w:bCs/>
          <w:sz w:val="24"/>
          <w:szCs w:val="24"/>
          <w:highlight w:val="none"/>
        </w:rPr>
        <w:t>中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的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金额</w:t>
      </w:r>
      <w:r>
        <w:rPr>
          <w:rFonts w:ascii="宋体" w:hAnsi="宋体"/>
          <w:b/>
          <w:bCs/>
          <w:sz w:val="24"/>
          <w:szCs w:val="24"/>
          <w:highlight w:val="none"/>
        </w:rPr>
        <w:t>一致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所有投标报价均含税，且用人民币表示，单位为元，精确到小数点后两位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。</w:t>
      </w:r>
    </w:p>
    <w:p w14:paraId="676335C5">
      <w:pPr>
        <w:shd w:val="clear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ascii="宋体" w:hAnsi="宋体"/>
          <w:b/>
          <w:bCs/>
          <w:sz w:val="24"/>
          <w:szCs w:val="24"/>
          <w:highlight w:val="none"/>
        </w:rPr>
        <w:t>2.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总价合计</w:t>
      </w:r>
      <w:r>
        <w:rPr>
          <w:rFonts w:ascii="宋体" w:hAnsi="宋体"/>
          <w:b/>
          <w:bCs/>
          <w:sz w:val="24"/>
          <w:szCs w:val="24"/>
          <w:highlight w:val="none"/>
        </w:rPr>
        <w:t>不得超出采购预算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最高投标总价限价</w:t>
      </w:r>
      <w:r>
        <w:rPr>
          <w:rFonts w:ascii="宋体" w:hAnsi="宋体"/>
          <w:b/>
          <w:bCs/>
          <w:sz w:val="24"/>
          <w:szCs w:val="24"/>
          <w:highlight w:val="none"/>
        </w:rPr>
        <w:t>，各类产品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报价不得超过分项预算</w:t>
      </w:r>
      <w:r>
        <w:rPr>
          <w:rFonts w:ascii="宋体" w:hAnsi="宋体"/>
          <w:b/>
          <w:bCs/>
          <w:sz w:val="24"/>
          <w:szCs w:val="24"/>
          <w:highlight w:val="none"/>
        </w:rPr>
        <w:t>，否则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其</w:t>
      </w:r>
      <w:r>
        <w:rPr>
          <w:rFonts w:ascii="宋体" w:hAnsi="宋体"/>
          <w:b/>
          <w:bCs/>
          <w:sz w:val="24"/>
          <w:szCs w:val="24"/>
          <w:highlight w:val="none"/>
        </w:rPr>
        <w:t>投标将被否决。</w:t>
      </w:r>
    </w:p>
    <w:p w14:paraId="2916A4E5">
      <w:pPr>
        <w:shd w:val="clear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bCs/>
          <w:szCs w:val="21"/>
          <w:highlight w:val="none"/>
        </w:rPr>
      </w:pPr>
      <w:r>
        <w:rPr>
          <w:rFonts w:ascii="宋体" w:hAnsi="宋体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若不按照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提供报价明细表将视为没有实质性响应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按无效投标处理</w:t>
      </w:r>
      <w:r>
        <w:rPr>
          <w:rFonts w:hint="eastAsia" w:ascii="宋体" w:hAnsi="宋体"/>
          <w:b/>
          <w:bCs/>
          <w:szCs w:val="21"/>
          <w:highlight w:val="none"/>
        </w:rPr>
        <w:t>。</w:t>
      </w:r>
    </w:p>
    <w:p w14:paraId="560BEE29">
      <w:pPr>
        <w:shd w:val="clear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  <w:lang w:val="en-US" w:eastAsia="zh-CN"/>
        </w:rPr>
        <w:t>4.在二次报价环节，供应商需按照要求上传分项报价表，且分项报价表的合计金额应与二次报价的总金额保持一致。</w:t>
      </w:r>
    </w:p>
    <w:p w14:paraId="7A10F307">
      <w:pPr>
        <w:pageBreakBefore w:val="0"/>
        <w:shd w:val="clear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F7C7CF7">
      <w:pPr>
        <w:pageBreakBefore w:val="0"/>
        <w:shd w:val="clear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3F53570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55FC"/>
    <w:rsid w:val="5A14445A"/>
    <w:rsid w:val="6DB5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270</Characters>
  <Lines>0</Lines>
  <Paragraphs>0</Paragraphs>
  <TotalTime>0</TotalTime>
  <ScaleCrop>false</ScaleCrop>
  <LinksUpToDate>false</LinksUpToDate>
  <CharactersWithSpaces>338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2025-11-25T03:55:00Z</dcterms:created>
  <dc:creator>开瑞</dc:creator>
  <cp:lastModifiedBy>开瑞</cp:lastModifiedBy>
  <dcterms:modified xsi:type="dcterms:W3CDTF">2025-12-12T07:59:01Z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F117086F80B04D3FA87339E3B0B1A721_11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