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版本号：SXZHZC2025-CS32620251124001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绘制西安市重点产业链招商图谱、编制重点产业发展及招商指南项目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SXZHZC2025-CS326</w:t>
      </w:r>
      <w:r>
        <w:br/>
      </w:r>
      <w:r>
        <w:br/>
      </w:r>
      <w:r>
        <w:br/>
      </w:r>
    </w:p>
    <w:p>
      <w:pPr>
        <w:pStyle w:val="null3"/>
        <w:jc w:val="center"/>
        <w:outlineLvl w:val="2"/>
      </w:pPr>
      <w:r>
        <w:rPr>
          <w:rFonts w:ascii="仿宋_GB2312" w:hAnsi="仿宋_GB2312" w:cs="仿宋_GB2312" w:eastAsia="仿宋_GB2312"/>
          <w:sz w:val="28"/>
          <w:b/>
        </w:rPr>
        <w:t>西安市投资合作局</w:t>
      </w:r>
    </w:p>
    <w:p>
      <w:pPr>
        <w:pStyle w:val="null3"/>
        <w:jc w:val="center"/>
        <w:outlineLvl w:val="2"/>
      </w:pPr>
      <w:r>
        <w:rPr>
          <w:rFonts w:ascii="仿宋_GB2312" w:hAnsi="仿宋_GB2312" w:cs="仿宋_GB2312" w:eastAsia="仿宋_GB2312"/>
          <w:sz w:val="28"/>
          <w:b/>
        </w:rPr>
        <w:t>陕西泽航项目管理有限公司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2025年11月24日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陕西泽航项目管理有限公司</w:t>
      </w:r>
      <w:r>
        <w:rPr>
          <w:rFonts w:ascii="仿宋_GB2312" w:hAnsi="仿宋_GB2312" w:cs="仿宋_GB2312" w:eastAsia="仿宋_GB2312"/>
        </w:rPr>
        <w:t>（以下简称“代理机构”）受</w:t>
      </w:r>
      <w:r>
        <w:rPr>
          <w:rFonts w:ascii="仿宋_GB2312" w:hAnsi="仿宋_GB2312" w:cs="仿宋_GB2312" w:eastAsia="仿宋_GB2312"/>
        </w:rPr>
        <w:t>西安市投资合作局</w:t>
      </w:r>
      <w:r>
        <w:rPr>
          <w:rFonts w:ascii="仿宋_GB2312" w:hAnsi="仿宋_GB2312" w:cs="仿宋_GB2312" w:eastAsia="仿宋_GB2312"/>
        </w:rPr>
        <w:t>委托，拟对</w:t>
      </w:r>
      <w:r>
        <w:rPr>
          <w:rFonts w:ascii="仿宋_GB2312" w:hAnsi="仿宋_GB2312" w:cs="仿宋_GB2312" w:eastAsia="仿宋_GB2312"/>
        </w:rPr>
        <w:t>绘制西安市重点产业链招商图谱、编制重点产业发展及招商指南项目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SXZHZC2025-CS326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绘制西安市重点产业链招商图谱、编制重点产业发展及招商指南项目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绘制西安市重点产业链招商图谱、编制重点产业发展及招商指南。</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采购包1（绘制西安市重点产业链招商图谱、编制重点产业发展及招商指南项目）：属于专门面向小微企业采购。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信用记录：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西安市投资合作局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029-86787912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陕西泽航项目管理有限公司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西安市未央区未央路80号盛龙广场A区1号楼1单元2601-619室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徐浩、张婉莹、程康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029-86477988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的《招标代理服务收费管理暂行办法》（计价格〔2002〕1980号）和国家发展和改革委员会办公厅印发的《关于招标代理服务收费有关问题的通知》（发改办价格〔2003〕857号）的有关规定执行。 成交供应商在领取成交通知书前，须向采购代理机构一次性支付招标代理服务费。 户名：陕西泽航项目管理有限公司 开户行：中国工商银行股份有限公司西安经济技术开发区支行 账号：3700000609200406578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西安市投资合作局</w:t>
      </w:r>
      <w:r>
        <w:rPr>
          <w:rFonts w:ascii="仿宋_GB2312" w:hAnsi="仿宋_GB2312" w:cs="仿宋_GB2312" w:eastAsia="仿宋_GB2312"/>
        </w:rPr>
        <w:t>和</w:t>
      </w:r>
      <w:r>
        <w:rPr>
          <w:rFonts w:ascii="仿宋_GB2312" w:hAnsi="仿宋_GB2312" w:cs="仿宋_GB2312" w:eastAsia="仿宋_GB2312"/>
        </w:rPr>
        <w:t>陕西泽航项目管理有限公司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西安市投资合作局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陕西泽航项目管理有限公司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西安市投资合作局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陕西泽航项目管理有限公司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详见合同附件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联系人：程康</w:t>
      </w:r>
    </w:p>
    <w:p>
      <w:pPr>
        <w:pStyle w:val="null3"/>
      </w:pPr>
      <w:r>
        <w:rPr>
          <w:rFonts w:ascii="仿宋_GB2312" w:hAnsi="仿宋_GB2312" w:cs="仿宋_GB2312" w:eastAsia="仿宋_GB2312"/>
        </w:rPr>
        <w:t>联系电话：029-86477988</w:t>
      </w:r>
    </w:p>
    <w:p>
      <w:pPr>
        <w:pStyle w:val="null3"/>
      </w:pPr>
      <w:r>
        <w:rPr>
          <w:rFonts w:ascii="仿宋_GB2312" w:hAnsi="仿宋_GB2312" w:cs="仿宋_GB2312" w:eastAsia="仿宋_GB2312"/>
        </w:rPr>
        <w:t>地址：西安市未央区未央路80号盛龙广场A区1号楼1单元2601-619室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绘制西安市重点产业链招商图谱、编制重点产业发展及招商指南</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960,000.00</w:t>
      </w:r>
    </w:p>
    <w:p>
      <w:pPr>
        <w:pStyle w:val="null3"/>
      </w:pPr>
      <w:r>
        <w:rPr>
          <w:rFonts w:ascii="仿宋_GB2312" w:hAnsi="仿宋_GB2312" w:cs="仿宋_GB2312" w:eastAsia="仿宋_GB2312"/>
        </w:rPr>
        <w:t>采购包最高限价（元）: 960,000.00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绘制西安市重点产业链招商图谱、编制重点产业发展及招商指南服务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标的名称：绘制西安市重点产业链招商图谱、编制重点产业发展及招商指南服务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both"/>
            </w:pPr>
            <w:r>
              <w:rPr>
                <w:rFonts w:ascii="仿宋_GB2312" w:hAnsi="仿宋_GB2312" w:cs="仿宋_GB2312" w:eastAsia="仿宋_GB2312"/>
                <w:sz w:val="20"/>
                <w:b/>
              </w:rPr>
              <w:t>一、项目概况</w:t>
            </w:r>
          </w:p>
          <w:p>
            <w:pPr>
              <w:pStyle w:val="null3"/>
              <w:jc w:val="both"/>
            </w:pPr>
            <w:r>
              <w:rPr>
                <w:rFonts w:ascii="仿宋_GB2312" w:hAnsi="仿宋_GB2312" w:cs="仿宋_GB2312" w:eastAsia="仿宋_GB2312"/>
                <w:sz w:val="20"/>
              </w:rPr>
              <w:t>为全面落实市委、市政府有关高质量推进招商引资的决策部署及工作要求，切实做好产业链招商工作，在前期完成绘制全市</w:t>
            </w:r>
            <w:r>
              <w:rPr>
                <w:rFonts w:ascii="仿宋_GB2312" w:hAnsi="仿宋_GB2312" w:cs="仿宋_GB2312" w:eastAsia="仿宋_GB2312"/>
                <w:sz w:val="20"/>
              </w:rPr>
              <w:t>10条重点产业链图谱工作的基础上，对剩余9条重点产业链（乳制品、钛及钛合金、智能终端、太阳能光伏、氢能、增材智造、物联网、传感器、陶瓷基复合材料）进行全面分析，绘制西安市重点产业链招商图谱，编制重点产业发展及招商指南；并结合前期绘制的10条重点产业链招商图谱和重点产业发展及招商指南，对全市19条重点产业链招商图谱和指南进行动态更新。</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20"/>
              <w:jc w:val="both"/>
            </w:pPr>
            <w:r>
              <w:rPr>
                <w:rFonts w:ascii="仿宋_GB2312" w:hAnsi="仿宋_GB2312" w:cs="仿宋_GB2312" w:eastAsia="仿宋_GB2312"/>
                <w:sz w:val="20"/>
                <w:b/>
              </w:rPr>
              <w:t>二、服务内容（包括工作区域、工作内容等）：</w:t>
            </w:r>
          </w:p>
          <w:p>
            <w:pPr>
              <w:pStyle w:val="null3"/>
              <w:ind w:firstLine="400"/>
              <w:jc w:val="both"/>
            </w:pPr>
            <w:r>
              <w:rPr>
                <w:rFonts w:ascii="仿宋_GB2312" w:hAnsi="仿宋_GB2312" w:cs="仿宋_GB2312" w:eastAsia="仿宋_GB2312"/>
                <w:sz w:val="20"/>
              </w:rPr>
              <w:t>紧密结合全市重点产业链发展现状，以西安本地资源优势为核心，梳理重点产业链现状，优化细化产业链条，全面摸排龙头企业、中下游企业以及关键配套企业，对比国内外重点产业发展趋势，厘清西安市重点产业链断点、弱点，结合省市</w:t>
            </w:r>
            <w:r>
              <w:rPr>
                <w:rFonts w:ascii="仿宋_GB2312" w:hAnsi="仿宋_GB2312" w:cs="仿宋_GB2312" w:eastAsia="仿宋_GB2312"/>
                <w:sz w:val="20"/>
              </w:rPr>
              <w:t>“十五五”规划产业布局和“重点产业链项目招引清单”，对9条重点产业链绘制重点招引方向和目标企业清单，梳理近远期招商引资目标，将潜在招引目标细分到重点产业园区，并动态更新全市19条重点产业链招商图谱和重点产业发展及招商指南。</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1）明确重点产业国内外发展现状。</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2）深入分析重点产业发展趋势。</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3）围绕西安市“十五五”规划产业布局，深入分析西安市重点产业发展现状。</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4）确定产业链招商近远期目标。</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5）绘制9条重点产业链招商图谱。</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6）编制重点产业发展及招商指南。</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7）动态更新全市19条重点产业链招商图谱和招商指南（每半年更新一次，为期3年）。</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420"/>
              <w:jc w:val="both"/>
            </w:pPr>
            <w:r>
              <w:rPr>
                <w:rFonts w:ascii="仿宋_GB2312" w:hAnsi="仿宋_GB2312" w:cs="仿宋_GB2312" w:eastAsia="仿宋_GB2312"/>
                <w:sz w:val="20"/>
                <w:b/>
              </w:rPr>
              <w:t>三、服务要求</w:t>
            </w:r>
          </w:p>
          <w:p>
            <w:pPr>
              <w:pStyle w:val="null3"/>
              <w:ind w:firstLine="400"/>
              <w:jc w:val="both"/>
            </w:pPr>
            <w:r>
              <w:rPr>
                <w:rFonts w:ascii="仿宋_GB2312" w:hAnsi="仿宋_GB2312" w:cs="仿宋_GB2312" w:eastAsia="仿宋_GB2312"/>
                <w:sz w:val="20"/>
              </w:rPr>
              <w:t>1.绘制9条重点产业链招商图谱和重点产业发展及招商指南资料：全套资料电子版1套，纸质版400套。</w:t>
            </w:r>
          </w:p>
          <w:p>
            <w:pPr>
              <w:pStyle w:val="null3"/>
              <w:jc w:val="both"/>
            </w:pPr>
            <w:r>
              <w:rPr>
                <w:rFonts w:ascii="仿宋_GB2312" w:hAnsi="仿宋_GB2312" w:cs="仿宋_GB2312" w:eastAsia="仿宋_GB2312"/>
                <w:sz w:val="20"/>
              </w:rPr>
              <w:t>2.动态更新全市19条重点产业链招商图谱和重点产业发展及招商指南资料：每半年更新一次，为期三年，每期全套资料电子版1套，纸质版100套。</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ind w:firstLine="402"/>
              <w:jc w:val="both"/>
            </w:pPr>
            <w:r>
              <w:rPr>
                <w:rFonts w:ascii="仿宋_GB2312" w:hAnsi="仿宋_GB2312" w:cs="仿宋_GB2312" w:eastAsia="仿宋_GB2312"/>
                <w:sz w:val="20"/>
                <w:b/>
              </w:rPr>
              <w:t>四、商务要求</w:t>
            </w:r>
            <w:r>
              <w:br/>
            </w:r>
            <w:r>
              <w:rPr>
                <w:rFonts w:ascii="仿宋_GB2312" w:hAnsi="仿宋_GB2312" w:cs="仿宋_GB2312" w:eastAsia="仿宋_GB2312"/>
                <w:sz w:val="20"/>
              </w:rPr>
              <w:t>（一）服务期限</w:t>
            </w:r>
          </w:p>
          <w:p>
            <w:pPr>
              <w:pStyle w:val="null3"/>
              <w:ind w:firstLine="400"/>
              <w:jc w:val="both"/>
            </w:pPr>
            <w:r>
              <w:rPr>
                <w:rFonts w:ascii="仿宋_GB2312" w:hAnsi="仿宋_GB2312" w:cs="仿宋_GB2312" w:eastAsia="仿宋_GB2312"/>
                <w:sz w:val="20"/>
              </w:rPr>
              <w:t>自合同签订之日起至项目第三方审计报告通过后止。</w:t>
            </w:r>
          </w:p>
          <w:p>
            <w:pPr>
              <w:pStyle w:val="null3"/>
              <w:ind w:firstLine="400"/>
              <w:jc w:val="both"/>
            </w:pPr>
            <w:r>
              <w:rPr>
                <w:rFonts w:ascii="仿宋_GB2312" w:hAnsi="仿宋_GB2312" w:cs="仿宋_GB2312" w:eastAsia="仿宋_GB2312"/>
                <w:sz w:val="20"/>
              </w:rPr>
              <w:t>（二）款项结算</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1）由采购人负责结算，在付款前，供应商必须开具全额发票给采购人。</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2）支付方式：银行转账，合同签订且供应商开具符合要求的发票后，达到付款条件起 30日内，采购人一次性支付全部合同金额。</w:t>
            </w:r>
          </w:p>
          <w:p>
            <w:pPr>
              <w:pStyle w:val="null3"/>
              <w:ind w:firstLine="400"/>
              <w:jc w:val="both"/>
            </w:pPr>
            <w:r>
              <w:rPr>
                <w:rFonts w:ascii="仿宋_GB2312" w:hAnsi="仿宋_GB2312" w:cs="仿宋_GB2312" w:eastAsia="仿宋_GB2312"/>
                <w:sz w:val="20"/>
              </w:rPr>
              <w:t>（三）履约保证金</w:t>
            </w:r>
          </w:p>
          <w:p>
            <w:pPr>
              <w:pStyle w:val="null3"/>
              <w:jc w:val="both"/>
            </w:pPr>
            <w:r>
              <w:rPr>
                <w:rFonts w:ascii="仿宋_GB2312" w:hAnsi="仿宋_GB2312" w:cs="仿宋_GB2312" w:eastAsia="仿宋_GB2312"/>
                <w:sz w:val="20"/>
              </w:rPr>
              <w:t>5% 的合同总价款，以银行保函形式提交至采购人，保函到期后，供应商应提前10天将延期后的银行保函提交至采购人，直至项目结束。</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firstLine="402"/>
              <w:jc w:val="both"/>
            </w:pPr>
            <w:r>
              <w:rPr>
                <w:rFonts w:ascii="仿宋_GB2312" w:hAnsi="仿宋_GB2312" w:cs="仿宋_GB2312" w:eastAsia="仿宋_GB2312"/>
                <w:sz w:val="20"/>
                <w:b/>
              </w:rPr>
              <w:t>五、其他</w:t>
            </w:r>
          </w:p>
          <w:p>
            <w:pPr>
              <w:pStyle w:val="null3"/>
              <w:ind w:firstLine="400"/>
              <w:jc w:val="both"/>
            </w:pPr>
            <w:r>
              <w:rPr>
                <w:rFonts w:ascii="仿宋_GB2312" w:hAnsi="仿宋_GB2312" w:cs="仿宋_GB2312" w:eastAsia="仿宋_GB2312"/>
                <w:sz w:val="20"/>
              </w:rPr>
              <w:t>（一）进度要求</w:t>
            </w:r>
          </w:p>
          <w:p>
            <w:pPr>
              <w:pStyle w:val="null3"/>
              <w:ind w:firstLine="400"/>
              <w:jc w:val="both"/>
            </w:pPr>
            <w:r>
              <w:rPr>
                <w:rFonts w:ascii="仿宋_GB2312" w:hAnsi="仿宋_GB2312" w:cs="仿宋_GB2312" w:eastAsia="仿宋_GB2312"/>
                <w:sz w:val="20"/>
              </w:rPr>
              <w:t>按采购人进度要求。</w:t>
            </w:r>
          </w:p>
          <w:p>
            <w:pPr>
              <w:pStyle w:val="null3"/>
              <w:ind w:firstLine="400"/>
              <w:jc w:val="both"/>
            </w:pPr>
            <w:r>
              <w:rPr>
                <w:rFonts w:ascii="仿宋_GB2312" w:hAnsi="仿宋_GB2312" w:cs="仿宋_GB2312" w:eastAsia="仿宋_GB2312"/>
                <w:sz w:val="20"/>
              </w:rPr>
              <w:t>（二）成果交付要求</w:t>
            </w:r>
          </w:p>
          <w:p>
            <w:pPr>
              <w:pStyle w:val="null3"/>
              <w:ind w:firstLine="400"/>
              <w:jc w:val="both"/>
            </w:pPr>
            <w:r>
              <w:rPr>
                <w:rFonts w:ascii="仿宋_GB2312" w:hAnsi="仿宋_GB2312" w:cs="仿宋_GB2312" w:eastAsia="仿宋_GB2312"/>
                <w:sz w:val="20"/>
              </w:rPr>
              <w:t>需达到采购人对项目的具体要求。</w:t>
            </w:r>
          </w:p>
          <w:p>
            <w:pPr>
              <w:pStyle w:val="null3"/>
              <w:ind w:firstLine="400"/>
              <w:jc w:val="both"/>
            </w:pPr>
            <w:r>
              <w:rPr>
                <w:rFonts w:ascii="仿宋_GB2312" w:hAnsi="仿宋_GB2312" w:cs="仿宋_GB2312" w:eastAsia="仿宋_GB2312"/>
                <w:sz w:val="20"/>
              </w:rPr>
              <w:t>（三）质量验收标准或规范</w:t>
            </w:r>
          </w:p>
          <w:p>
            <w:pPr>
              <w:pStyle w:val="null3"/>
              <w:ind w:firstLine="400"/>
              <w:jc w:val="both"/>
            </w:pPr>
            <w:r>
              <w:rPr>
                <w:rFonts w:ascii="仿宋_GB2312" w:hAnsi="仿宋_GB2312" w:cs="仿宋_GB2312" w:eastAsia="仿宋_GB2312"/>
                <w:sz w:val="20"/>
              </w:rPr>
              <w:t>1、服务期满后按照成交供应商所提供的资料及数据进行验收；</w:t>
            </w:r>
          </w:p>
          <w:p>
            <w:pPr>
              <w:pStyle w:val="null3"/>
              <w:ind w:firstLine="400"/>
              <w:jc w:val="both"/>
            </w:pPr>
            <w:r>
              <w:rPr>
                <w:rFonts w:ascii="仿宋_GB2312" w:hAnsi="仿宋_GB2312" w:cs="仿宋_GB2312" w:eastAsia="仿宋_GB2312"/>
                <w:sz w:val="20"/>
              </w:rPr>
              <w:t>2、最终验收：自合同签订之日起至完成全部项目内容，需按照采购人确定的时间完成交付并验收合格，验收合格后，填写验收单。</w:t>
            </w:r>
          </w:p>
          <w:p>
            <w:pPr>
              <w:pStyle w:val="null3"/>
              <w:ind w:firstLine="400"/>
              <w:jc w:val="both"/>
            </w:pPr>
            <w:r>
              <w:rPr>
                <w:rFonts w:ascii="仿宋_GB2312" w:hAnsi="仿宋_GB2312" w:cs="仿宋_GB2312" w:eastAsia="仿宋_GB2312"/>
                <w:sz w:val="20"/>
              </w:rPr>
              <w:t>3、验收和评价方式</w:t>
            </w:r>
          </w:p>
          <w:p>
            <w:pPr>
              <w:pStyle w:val="null3"/>
              <w:ind w:firstLine="400"/>
              <w:jc w:val="both"/>
            </w:pPr>
            <w:r>
              <w:rPr>
                <w:rFonts w:ascii="仿宋_GB2312" w:hAnsi="仿宋_GB2312" w:cs="仿宋_GB2312" w:eastAsia="仿宋_GB2312"/>
                <w:sz w:val="20"/>
              </w:rPr>
              <w:t>3.1供应商提供的服务最终验收达不到磋商文件要求和磋商响应文件承诺及国家或行业标准，或在使用中发现采购人不能容忍的缺陷等，将视为验收不合格，供应商应在采购人要求的时间内无条件完善或要求赔付采购人损失。</w:t>
            </w:r>
          </w:p>
          <w:p>
            <w:pPr>
              <w:pStyle w:val="null3"/>
              <w:ind w:firstLine="400"/>
              <w:jc w:val="both"/>
            </w:pPr>
            <w:r>
              <w:rPr>
                <w:rFonts w:ascii="仿宋_GB2312" w:hAnsi="仿宋_GB2312" w:cs="仿宋_GB2312" w:eastAsia="仿宋_GB2312"/>
                <w:sz w:val="20"/>
              </w:rPr>
              <w:t>3.2若发现供应商有弄虚作假的，及在项目实施阶段故意或随意夸大服务，本项目合同解除，供应商赔偿采购人相应的损失。</w:t>
            </w:r>
          </w:p>
          <w:p>
            <w:pPr>
              <w:pStyle w:val="null3"/>
              <w:ind w:firstLine="400"/>
              <w:jc w:val="both"/>
            </w:pPr>
            <w:r>
              <w:rPr>
                <w:rFonts w:ascii="仿宋_GB2312" w:hAnsi="仿宋_GB2312" w:cs="仿宋_GB2312" w:eastAsia="仿宋_GB2312"/>
                <w:sz w:val="20"/>
              </w:rPr>
              <w:t>3.3验收标准：按磋商文件、磋商响应文件等服务指标进行逐项验收，各项指标均应符合验收标准及要求。</w:t>
            </w:r>
          </w:p>
          <w:p>
            <w:pPr>
              <w:pStyle w:val="null3"/>
              <w:ind w:firstLine="400"/>
              <w:jc w:val="both"/>
            </w:pPr>
            <w:r>
              <w:rPr>
                <w:rFonts w:ascii="仿宋_GB2312" w:hAnsi="仿宋_GB2312" w:cs="仿宋_GB2312" w:eastAsia="仿宋_GB2312"/>
                <w:sz w:val="20"/>
              </w:rPr>
              <w:t>3.4验收合格后，填写验收单，双方盖章、签字生效。</w:t>
            </w:r>
          </w:p>
          <w:p>
            <w:pPr>
              <w:pStyle w:val="null3"/>
              <w:ind w:firstLine="400"/>
              <w:jc w:val="both"/>
            </w:pPr>
            <w:r>
              <w:rPr>
                <w:rFonts w:ascii="仿宋_GB2312" w:hAnsi="仿宋_GB2312" w:cs="仿宋_GB2312" w:eastAsia="仿宋_GB2312"/>
                <w:sz w:val="20"/>
              </w:rPr>
              <w:t>3.5验收依据</w:t>
            </w:r>
          </w:p>
          <w:p>
            <w:pPr>
              <w:pStyle w:val="null3"/>
              <w:ind w:firstLine="400"/>
              <w:jc w:val="both"/>
            </w:pPr>
            <w:r>
              <w:rPr>
                <w:rFonts w:ascii="仿宋_GB2312" w:hAnsi="仿宋_GB2312" w:cs="仿宋_GB2312" w:eastAsia="仿宋_GB2312"/>
                <w:sz w:val="20"/>
              </w:rPr>
              <w:t>3.5.1合同文本。</w:t>
            </w:r>
          </w:p>
          <w:p>
            <w:pPr>
              <w:pStyle w:val="null3"/>
              <w:ind w:firstLine="400"/>
              <w:jc w:val="both"/>
            </w:pPr>
            <w:r>
              <w:rPr>
                <w:rFonts w:ascii="仿宋_GB2312" w:hAnsi="仿宋_GB2312" w:cs="仿宋_GB2312" w:eastAsia="仿宋_GB2312"/>
                <w:sz w:val="20"/>
              </w:rPr>
              <w:t>3.5.2磋商响应文件、磋商文件、澄清函。</w:t>
            </w:r>
          </w:p>
          <w:p>
            <w:pPr>
              <w:pStyle w:val="null3"/>
              <w:jc w:val="both"/>
            </w:pPr>
            <w:r>
              <w:rPr>
                <w:rFonts w:ascii="仿宋_GB2312" w:hAnsi="仿宋_GB2312" w:cs="仿宋_GB2312" w:eastAsia="仿宋_GB2312"/>
                <w:sz w:val="20"/>
              </w:rPr>
              <w:t xml:space="preserve">    3.5.3国家和行业制定的相应的标准和规范。</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满足本项目实施过程中的相关要求。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满足本项目实施过程中的相关要求。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自合同签订之日起至项目第三方审计报告通过后止。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1、服务期满后按照成交供应商所提供的资料及数据进行验收； 2、最终验收：自合同签订之日起至完成全部项目内容，需按照采购人确定的时间完成交付并验收合格，验收合格后，填写验收单。 3、验收和评价方式 3.1 乙方提供的服务最终验收达不到磋商文件要求和磋商响应文件承诺及国家或行业标准，或在使用中发现甲方不能容忍的缺陷等，将视为验收不合格，乙方应在甲方要求的时间内无条件完善或要求赔付采购人损失。 3.2 若发现乙方有弄虚作假的，及在项目实施阶段故意或随意夸大服务，本项目合同解除，乙方赔偿甲方相应的损失。 3.3 验收标准：按磋商文件、磋商响应文件等服务指标进行逐项验收，各项指标均应符合验收标准及要求。 3.4 验收合格后，填写验收单，双方盖章、签字生效。 3.5 验收依据 3.5.1 合同文本。 3.5.2 磋商响应文件、磋商文件、澄清函。 3.5.3 国家和行业制定的相应的标准和规范。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合同签订且供应商开具符合要求的发票后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关于弃标的说明：按照《西安市财政局关于促进政府采购公平竞争优化营商环境的通知》（市财函〔2021〕431号）规定：供应商登记免费领取磋商文件的，如不参与项目磋商，应在提交磋商响应文件截止时间前一日以书面形式告知采购代理机构（发送弃标函到代理机构邮箱：sxzhxmgl001@163.com）。否则，采购代理机构可以向财政部门反映情况并提供相应的佐证。供应商一年内累计出现三次该情形，将被监管部门记录为失信行为。3.4.2纸质版响应文件要求：成交供应商在领取成交通知书前，须向采购代理机构提供纸质版响应文件3套（1正2副），U盘2份（包括响应文件的全部内容）且提供的响应文件必须与在陕西省政府采购综合管理平台的项目电子化交易系统中提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财务状况报告：提供具有审计资质单位出具的2024年度的财务审计报告（包括审计报告、资产负债表、利润表、现金流量表、所有者权益变动表（没有可不提供）及附注，成立时间至提交响应文件截止时间不足一年的可提供成立后任意时段的资产负债表）或开标前六个月内基本存款账户开户银行出具的资信证明及基本存款账户信息。（以上两种形式的资料提供任何一种即可）； 3.提供响应文件递交截止时间前六个月内任意时段的纳税证明或完税证明（任意税种，个人所得税及印花税除外），纳税证明或完税证明上应有代收机构或税务机关的公章或业务专用章，依法免税的供应商应提供相关文件证明； 4.提供响应文件递交截止时间前六个月内任意时段的社会保障资金缴存单据或社保机构开具的社会保险参保缴费情况证明，依法不需要缴纳社会保障资金的单位应提供相关证明材料； 5.提供具有履行合同所必需的设备和专业技术能力的承诺； 6.参加政府采购活动前三年内，在经营活动中没有重大违法记录的书面声明。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上传2024年度经审计的财务报告（包括审计报告、资产负债表、利润表、现金流量表、所有者权益变动表（没有可不提供）及附注，成立时间至响应文件提交截止时间不足一年的可提供成立后任意时段的资产负债表），或响应文件提交截止时间六个月内基本账户开户银行出具的资信证明及基本存款账户信息（以上两种形式的资料提供任何一种即可），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响应文件封面 服务方案 技术和商务偏离表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响应文件封面 服务方案 陕西省政府采购供应商拒绝政府采购领域商业贿赂承诺书 合同条款响应</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响应文件封面 合同条款响应</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响应文件封面 服务方案</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评审内容：①对服务内容的理解；②服务目标及计划安排；③服务内容及措施；④服务重难点分析及解决措施；⑤服务流程评审标准：方案各部分内容全面详细、阐述条理清晰详尽、符合本项目采购需求得15分；评审内容每缺一项扣3分；评审内容有缺陷（缺陷是指：内容粗略、逻辑混乱、描述过于简单、与项目特点不匹配、凭空编造、逻辑漏洞、出现常识性错误、存在不适用项目实际情况的情形或只有标题没有实质性内容等）评审内容出现以上任一情形扣1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①重点产业国内外发展现状分析及重点产业发展趋势分析；②西安市重点产业发展现状分析；③确定产业链招商近远期目标方案；④9条重点产业链招商图谱绘制方案；⑤重点产业发展及招商指南编制方案；⑥动态更新全市19条重点产业链招商图谱和招商指南方案。 评审标准：方案各部分内容全面详细、阐述条理清晰详尽、符合本项目采购需求得18分；评审内容每缺一项扣3分；评审内容有缺陷（缺陷是指：内容粗略、逻辑混乱、描述过于简单、与项目特点不匹配、凭空编造、逻辑漏洞、出现常识性错误、存在不适用项目实际情况的情形或只有标题没有实质性内容等）评审内容出现以上任一情形扣1分，扣完为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评审内容：①组织管理机构设置及人员配置；②人员安排计划及分配工作情况；③团队人员管理制度。 评审标准：以上内容全面详细、阐述条理清晰，能有效保障本项目实施得9分，每有一项缺项扣3分；内容有缺陷（缺陷是指：内容粗略、逻辑混乱、描述过于简单、与项目特点不匹配、凭空编造、逻辑漏洞、出现常识性错误、存在不适用项目实际情况的情形或只有标题没有实质性内容等）评审内容出现以上任一情形扣1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评审内容：①内控制度②员工日常管理办法③奖惩措施。 评审标准：以上内容全面详细、阐述条理清晰，能有效保障本项目实施得9分，每有一项缺项扣3分；内容有缺陷（缺陷是指：内容粗略、逻辑混乱、描述过于简单、与项目特点不匹配、凭空编造、逻辑漏洞、出现常识性错误、存在不适用项目实际情况的情形或只有标题没有实质性内容等）评审内容出现以上任一情形扣1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评审内容：①工作计划安排；②工作进度保障。 评审标准：方案内容专门针对本项目编制，切合本项目实际情况及实施要求，内容与要点相符、每个要点均有展开详细的阐述且能够适用于本项目的得6分，每有一项缺项扣3分；内容有缺陷（缺陷是指：内容粗略、逻辑混乱、描述过于简单、与项目特点不匹配、凭空编造、逻辑漏洞、出现常识性错误、存在不适用项目实际情况的情形或只有标题没有实质性内容等）评审内容出现以上任一情形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评审内容：①质量目标；②质量保证措施。 评审标准：方案内容专门针对本项目编制，切合本项目实际情况及实施要求，内容与要点相符、每个要点均有展开详细的阐述且能够适用于本项目的得6分，每有一项缺项扣3分；内容有缺陷（缺陷是指：内容粗略、逻辑混乱、描述过于简单、与项目特点不匹配、凭空编造、逻辑漏洞、出现常识性错误、存在不适用项目实际情况的情形或只有标题没有实质性内容等）评审内容出现以上任一情形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评审内容：①各类不可预期风险以及各类临时性、紧急性应急保障任务的应对措施；②风险控制方法。 评审标准：方案内容专门针对本项目编制，切合本项目实际情况及实施要求，内容与要点相符、每个要点均有展开详细的阐述且能够适用于本项目的得6分，每有一项缺项扣3分；内容有缺陷（缺陷是指：内容粗略、逻辑混乱、描述过于简单、与项目特点不匹配、凭空编造、逻辑漏洞、出现常识性错误、存在不适用项目实际情况的情形或只有标题没有实质性内容等）评审内容出现以上任一情形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评审内容：①服务标准②服务内容③响应时间。 评审标准：以上内容全面详细、阐述条理清晰，能有效保障本项目实施得12分，每有一项缺项扣4分；内容有缺陷（缺陷是指：内容粗略、逻辑混乱、描述过于简单、与项目特点不匹配、凭空编造、逻辑漏洞、出现常识性错误、存在不适用项目实际情况的情形或只有标题没有实质性内容等）评审内容出现以上任一情形扣1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提供供应商2022年11月1日至磋商截止日类似项目业绩（以合同复印件为准），每提供一份业绩得3分，最高得9分。若提供虚假业绩，一经发现，按无效磋商处理。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2）满足磋商文件实质性要求且最终报价最低的供应商的价格为磋商基准价，其价格分为满分10分。（3）磋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详见附件：合同条款响应</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