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版本号：SXLX25-02-088Z(F)(三次)20251125001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蓝田县人民法院2025年集约送达服务项目(三次)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SXLX25-02-088Z(F)(三次)</w:t>
      </w:r>
      <w:r>
        <w:br/>
      </w:r>
      <w:r>
        <w:br/>
      </w:r>
      <w:r>
        <w:br/>
      </w:r>
    </w:p>
    <w:p>
      <w:pPr>
        <w:pStyle w:val="null3"/>
        <w:jc w:val="center"/>
        <w:outlineLvl w:val="2"/>
      </w:pPr>
      <w:r>
        <w:rPr>
          <w:rFonts w:ascii="仿宋_GB2312" w:hAnsi="仿宋_GB2312" w:cs="仿宋_GB2312" w:eastAsia="仿宋_GB2312"/>
          <w:sz w:val="28"/>
          <w:b/>
        </w:rPr>
        <w:t>蓝田县人民法院[164]</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蓝田县人民法院[164]</w:t>
      </w:r>
      <w:r>
        <w:rPr>
          <w:rFonts w:ascii="仿宋_GB2312" w:hAnsi="仿宋_GB2312" w:cs="仿宋_GB2312" w:eastAsia="仿宋_GB2312"/>
        </w:rPr>
        <w:t>委托，拟对</w:t>
      </w:r>
      <w:r>
        <w:rPr>
          <w:rFonts w:ascii="仿宋_GB2312" w:hAnsi="仿宋_GB2312" w:cs="仿宋_GB2312" w:eastAsia="仿宋_GB2312"/>
        </w:rPr>
        <w:t>蓝田县人民法院2025年集约送达服务项目(三次)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SXLX25-02-088Z(F)(三次)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蓝田县人民法院2025年集约送达服务项目(三次)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蓝田县人民法院2025年集约送达服务项目，为采购人电子送达工作提供外包服务，要求供应商提供法院集约化文书送达服务和集约送达辅助事务管理平台租赁服务，具体要求详见磋商文件“第三章磋商项目技术、服务、商务及其他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采购包1（蓝田县人民法院2025年集约送达服务项目）：属于专门面向中小企业采购。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蓝田县人民法院[164]</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蓝田县玉泉路10号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029-82735663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陕西省西安市雁塔区雁翔路111号赛格·中京坊公寓A一单元二层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魏晴霏、王小琼、任甜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代理服务费收费标准：依据《国家发展改革委关于进一步放开建设项目专业服务价格的通知》（发改价格〔2015〕299号）文件标准规定收取6000元整。 请将采购代理服务费汇至下列指定账户： 开户名称：陕西隆信项目管理有限公司 开 户 行：招商银行股份有限公司西安土门支行 账 号：129904064810902 财务部电话：029-88489979-8501 注：此服务费应计入报价中，但不需要单独开列。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蓝田县人民法院[164]</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蓝田县人民法院[164]</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蓝田县人民法院[164]</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对项目进行整体验收，供应商协助配合。其内容包括采购文件以及响应文件中所有服务内容，以及质量是否达到现行国家有关验收规范“合格”标准、是否按照采购人要求实施、是否按照采购人要求提供相关培训、是否在规定时间内完成工作。1.服务内容和质量最终验收达不到采购文件要求和响应文件承诺的，或在项目实施中发现采购人不能容忍的缺陷等，将视为验收不合格，供应商应在采购人要求的时间内无条件免费进行整改。2.验收标准：按采购文件、响应文件及澄清函等进行验收。 3.验收合格后，填写验收单，双方签字生效。</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联系人：魏晴霏、王小琼、任甜</w:t>
      </w:r>
    </w:p>
    <w:p>
      <w:pPr>
        <w:pStyle w:val="null3"/>
      </w:pPr>
      <w:r>
        <w:rPr>
          <w:rFonts w:ascii="仿宋_GB2312" w:hAnsi="仿宋_GB2312" w:cs="仿宋_GB2312" w:eastAsia="仿宋_GB2312"/>
        </w:rPr>
        <w:t>联系电话：029-88489979-8205</w:t>
      </w:r>
    </w:p>
    <w:p>
      <w:pPr>
        <w:pStyle w:val="null3"/>
      </w:pPr>
      <w:r>
        <w:rPr>
          <w:rFonts w:ascii="仿宋_GB2312" w:hAnsi="仿宋_GB2312" w:cs="仿宋_GB2312" w:eastAsia="仿宋_GB2312"/>
        </w:rPr>
        <w:t>地址：陕西省西安市雁塔区雁翔路111号赛格·中京坊公寓A一单元二层招标二部</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color w:val="0C0C0C"/>
        </w:rPr>
        <w:t>本项目为</w:t>
      </w:r>
      <w:r>
        <w:rPr>
          <w:rFonts w:ascii="仿宋_GB2312" w:hAnsi="仿宋_GB2312" w:cs="仿宋_GB2312" w:eastAsia="仿宋_GB2312"/>
          <w:sz w:val="21"/>
          <w:color w:val="0C0C0C"/>
        </w:rPr>
        <w:t>蓝田县人民法院</w:t>
      </w:r>
      <w:r>
        <w:rPr>
          <w:rFonts w:ascii="仿宋_GB2312" w:hAnsi="仿宋_GB2312" w:cs="仿宋_GB2312" w:eastAsia="仿宋_GB2312"/>
          <w:sz w:val="21"/>
          <w:color w:val="0C0C0C"/>
        </w:rPr>
        <w:t>2025年集约送达服务项目，为</w:t>
      </w:r>
      <w:r>
        <w:rPr>
          <w:rFonts w:ascii="仿宋_GB2312" w:hAnsi="仿宋_GB2312" w:cs="仿宋_GB2312" w:eastAsia="仿宋_GB2312"/>
          <w:sz w:val="21"/>
          <w:color w:val="0C0C0C"/>
        </w:rPr>
        <w:t>采购人</w:t>
      </w:r>
      <w:r>
        <w:rPr>
          <w:rFonts w:ascii="仿宋_GB2312" w:hAnsi="仿宋_GB2312" w:cs="仿宋_GB2312" w:eastAsia="仿宋_GB2312"/>
          <w:sz w:val="21"/>
          <w:color w:val="0C0C0C"/>
        </w:rPr>
        <w:t>电子送达工作提供外包服务，要求</w:t>
      </w:r>
      <w:r>
        <w:rPr>
          <w:rFonts w:ascii="仿宋_GB2312" w:hAnsi="仿宋_GB2312" w:cs="仿宋_GB2312" w:eastAsia="仿宋_GB2312"/>
          <w:sz w:val="21"/>
          <w:color w:val="0C0C0C"/>
        </w:rPr>
        <w:t>供应商</w:t>
      </w:r>
      <w:r>
        <w:rPr>
          <w:rFonts w:ascii="仿宋_GB2312" w:hAnsi="仿宋_GB2312" w:cs="仿宋_GB2312" w:eastAsia="仿宋_GB2312"/>
          <w:sz w:val="21"/>
          <w:color w:val="0C0C0C"/>
        </w:rPr>
        <w:t>提供法院集约化文书送达服务和集约送达辅助事务管理平台租赁服务，</w:t>
      </w:r>
      <w:r>
        <w:rPr>
          <w:rFonts w:ascii="仿宋_GB2312" w:hAnsi="仿宋_GB2312" w:cs="仿宋_GB2312" w:eastAsia="仿宋_GB2312"/>
          <w:sz w:val="21"/>
          <w:color w:val="0C0C0C"/>
        </w:rPr>
        <w:t>具体要求详见磋商文件</w:t>
      </w:r>
      <w:r>
        <w:rPr>
          <w:rFonts w:ascii="仿宋_GB2312" w:hAnsi="仿宋_GB2312" w:cs="仿宋_GB2312" w:eastAsia="仿宋_GB2312"/>
          <w:sz w:val="21"/>
          <w:color w:val="0C0C0C"/>
        </w:rPr>
        <w:t>“</w:t>
      </w:r>
      <w:r>
        <w:rPr>
          <w:rFonts w:ascii="仿宋_GB2312" w:hAnsi="仿宋_GB2312" w:cs="仿宋_GB2312" w:eastAsia="仿宋_GB2312"/>
          <w:sz w:val="21"/>
          <w:color w:val="0C0C0C"/>
        </w:rPr>
        <w:t>第三章磋商项目技术、服务、商务及其他要求</w:t>
      </w:r>
      <w:r>
        <w:rPr>
          <w:rFonts w:ascii="仿宋_GB2312" w:hAnsi="仿宋_GB2312" w:cs="仿宋_GB2312" w:eastAsia="仿宋_GB2312"/>
          <w:sz w:val="21"/>
          <w:color w:val="0C0C0C"/>
        </w:rPr>
        <w:t>”</w:t>
      </w:r>
      <w:r>
        <w:rPr>
          <w:rFonts w:ascii="仿宋_GB2312" w:hAnsi="仿宋_GB2312" w:cs="仿宋_GB2312" w:eastAsia="仿宋_GB2312"/>
          <w:sz w:val="21"/>
          <w:color w:val="0C0C0C"/>
        </w:rPr>
        <w:t>。</w:t>
      </w:r>
    </w:p>
    <w:p>
      <w:pPr>
        <w:pStyle w:val="null3"/>
        <w:spacing w:before="90" w:after="90"/>
        <w:ind w:firstLine="422"/>
        <w:jc w:val="both"/>
      </w:pPr>
      <w:r>
        <w:rPr>
          <w:rFonts w:ascii="仿宋_GB2312" w:hAnsi="仿宋_GB2312" w:cs="仿宋_GB2312" w:eastAsia="仿宋_GB2312"/>
          <w:sz w:val="21"/>
          <w:b/>
          <w:color w:val="0C0C0C"/>
          <w:shd w:fill="FFFFFF" w:val="clear"/>
        </w:rPr>
        <w:t>本项目所属行业为</w:t>
      </w:r>
      <w:r>
        <w:rPr>
          <w:rFonts w:ascii="仿宋_GB2312" w:hAnsi="仿宋_GB2312" w:cs="仿宋_GB2312" w:eastAsia="仿宋_GB2312"/>
          <w:sz w:val="21"/>
          <w:b/>
          <w:color w:val="0C0C0C"/>
          <w:shd w:fill="FFFFFF" w:val="clear"/>
        </w:rPr>
        <w:t>其他未列明行业</w:t>
      </w:r>
      <w:r>
        <w:rPr>
          <w:rFonts w:ascii="仿宋_GB2312" w:hAnsi="仿宋_GB2312" w:cs="仿宋_GB2312" w:eastAsia="仿宋_GB2312"/>
          <w:sz w:val="21"/>
          <w:b/>
          <w:color w:val="0C0C0C"/>
          <w:shd w:fill="FFFFFF" w:val="clear"/>
        </w:rPr>
        <w:t>。</w:t>
      </w:r>
      <w:r>
        <w:rPr>
          <w:rFonts w:ascii="仿宋_GB2312" w:hAnsi="仿宋_GB2312" w:cs="仿宋_GB2312" w:eastAsia="仿宋_GB2312"/>
          <w:sz w:val="21"/>
          <w:color w:val="0C0C0C"/>
          <w:shd w:fill="FFFFFF" w:val="clear"/>
        </w:rPr>
        <w:t>（</w:t>
      </w:r>
      <w:r>
        <w:rPr>
          <w:rFonts w:ascii="仿宋_GB2312" w:hAnsi="仿宋_GB2312" w:cs="仿宋_GB2312" w:eastAsia="仿宋_GB2312"/>
          <w:sz w:val="21"/>
          <w:color w:val="0C0C0C"/>
          <w:shd w:fill="FFFFFF" w:val="clear"/>
        </w:rPr>
        <w:t>从业人员</w:t>
      </w:r>
      <w:r>
        <w:rPr>
          <w:rFonts w:ascii="仿宋_GB2312" w:hAnsi="仿宋_GB2312" w:cs="仿宋_GB2312" w:eastAsia="仿宋_GB2312"/>
          <w:sz w:val="21"/>
          <w:color w:val="0C0C0C"/>
          <w:shd w:fill="FFFFFF" w:val="clear"/>
        </w:rPr>
        <w:t>300人以下的为中小微型企业。其中，从业人员100人及以上的为中型企业；从业人员10人及以上的为小型企业；从业人员10人以下的为微型企业。</w:t>
      </w:r>
      <w:r>
        <w:rPr>
          <w:rFonts w:ascii="仿宋_GB2312" w:hAnsi="仿宋_GB2312" w:cs="仿宋_GB2312" w:eastAsia="仿宋_GB2312"/>
          <w:sz w:val="21"/>
          <w:color w:val="0C0C0C"/>
          <w:shd w:fill="FFFFFF" w:val="clear"/>
        </w:rPr>
        <w:t>）</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集约送达服务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标的名称：集约送达服务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shd w:fill="FFFFFF" w:val="clear"/>
              </w:rPr>
              <w:t>一、</w:t>
            </w:r>
            <w:r>
              <w:rPr>
                <w:rFonts w:ascii="仿宋_GB2312" w:hAnsi="仿宋_GB2312" w:cs="仿宋_GB2312" w:eastAsia="仿宋_GB2312"/>
                <w:sz w:val="21"/>
                <w:b/>
                <w:color w:val="000000"/>
                <w:shd w:fill="FFFFFF" w:val="clear"/>
              </w:rPr>
              <w:t>采购需求</w:t>
            </w:r>
            <w:r>
              <w:rPr>
                <w:rFonts w:ascii="仿宋_GB2312" w:hAnsi="仿宋_GB2312" w:cs="仿宋_GB2312" w:eastAsia="仿宋_GB2312"/>
                <w:sz w:val="21"/>
                <w:b/>
                <w:color w:val="000000"/>
                <w:shd w:fill="FFFFFF" w:val="clear"/>
              </w:rPr>
              <w:t>及</w:t>
            </w:r>
            <w:r>
              <w:rPr>
                <w:rFonts w:ascii="仿宋_GB2312" w:hAnsi="仿宋_GB2312" w:cs="仿宋_GB2312" w:eastAsia="仿宋_GB2312"/>
                <w:sz w:val="21"/>
                <w:b/>
                <w:color w:val="000000"/>
                <w:shd w:fill="FFFFFF" w:val="clear"/>
              </w:rPr>
              <w:t>服务内容</w:t>
            </w:r>
          </w:p>
          <w:p>
            <w:pPr>
              <w:pStyle w:val="null3"/>
              <w:jc w:val="both"/>
            </w:pPr>
            <w:r>
              <w:rPr>
                <w:rFonts w:ascii="仿宋_GB2312" w:hAnsi="仿宋_GB2312" w:cs="仿宋_GB2312" w:eastAsia="仿宋_GB2312"/>
                <w:sz w:val="21"/>
                <w:b/>
                <w:color w:val="000000"/>
              </w:rPr>
              <w:t>1.集约化送达辅助服务</w:t>
            </w:r>
          </w:p>
          <w:p>
            <w:pPr>
              <w:pStyle w:val="null3"/>
              <w:jc w:val="both"/>
            </w:pPr>
            <w:r>
              <w:rPr>
                <w:rFonts w:ascii="仿宋_GB2312" w:hAnsi="仿宋_GB2312" w:cs="仿宋_GB2312" w:eastAsia="仿宋_GB2312"/>
                <w:sz w:val="21"/>
                <w:color w:val="000000"/>
              </w:rPr>
              <w:t>▲1.1电话送达服务：送达专员可通过送达系统进行电话通知，可以在线播放、下载送达过程中与受送达人电话沟通的录音，送达专员针对当事人已清楚、完整地听取电话内容的，通话结束后支持对本次通话进行标签记录。</w:t>
            </w:r>
            <w:r>
              <w:rPr>
                <w:rFonts w:ascii="仿宋_GB2312" w:hAnsi="仿宋_GB2312" w:cs="仿宋_GB2312" w:eastAsia="仿宋_GB2312"/>
                <w:sz w:val="21"/>
                <w:b/>
                <w:color w:val="000000"/>
              </w:rPr>
              <w:t>（提供包括但不限于检测报告、彩页、功能界面截图、详细功能说明、技术白皮书等佐证材料</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属于供应商自助开发软件需提供软件著作权认证证书，供应商使用第三方软件产品需要提供厂家许可。</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color w:val="000000"/>
              </w:rPr>
              <w:t>1.2电子送达服务：送达专员将依据电话沟通过程中确认过的电子送达地址提供送达服务。</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调解意愿征求服务：对于被告类当事人需在沟通话术中释明调解的优势，劝导当事人同意以先行调解的方式解决纠纷。。</w:t>
            </w:r>
            <w:r>
              <w:rPr>
                <w:rFonts w:ascii="仿宋_GB2312" w:hAnsi="仿宋_GB2312" w:cs="仿宋_GB2312" w:eastAsia="仿宋_GB2312"/>
                <w:sz w:val="21"/>
                <w:b/>
                <w:color w:val="000000"/>
              </w:rPr>
              <w:t>（提供包括但不限于检测报告、彩页、功能界面截图、详细功能说明、技术白皮书等佐证材料</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属于供应商自助开发软件需提供软件著作权认证证书，供应商使用第三方软件产品需要提供厂家许可。</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2.集约化送达系统具备的功能</w:t>
            </w:r>
          </w:p>
          <w:p>
            <w:pPr>
              <w:pStyle w:val="null3"/>
              <w:jc w:val="both"/>
            </w:pPr>
            <w:r>
              <w:rPr>
                <w:rFonts w:ascii="仿宋_GB2312" w:hAnsi="仿宋_GB2312" w:cs="仿宋_GB2312" w:eastAsia="仿宋_GB2312"/>
                <w:sz w:val="21"/>
                <w:color w:val="000000"/>
              </w:rPr>
              <w:t>2.1电话送达功能</w:t>
            </w:r>
          </w:p>
          <w:p>
            <w:pPr>
              <w:pStyle w:val="null3"/>
              <w:jc w:val="both"/>
            </w:pPr>
            <w:r>
              <w:rPr>
                <w:rFonts w:ascii="仿宋_GB2312" w:hAnsi="仿宋_GB2312" w:cs="仿宋_GB2312" w:eastAsia="仿宋_GB2312"/>
                <w:sz w:val="21"/>
                <w:color w:val="000000"/>
              </w:rPr>
              <w:t>2.1.1对于推送到电话呼叫中心的工单，系统提供加密传输和隐藏号码的信息保护机制功能。</w:t>
            </w:r>
          </w:p>
          <w:p>
            <w:pPr>
              <w:pStyle w:val="null3"/>
              <w:jc w:val="both"/>
            </w:pPr>
            <w:r>
              <w:rPr>
                <w:rFonts w:ascii="仿宋_GB2312" w:hAnsi="仿宋_GB2312" w:cs="仿宋_GB2312" w:eastAsia="仿宋_GB2312"/>
                <w:sz w:val="21"/>
                <w:color w:val="000000"/>
              </w:rPr>
              <w:t>▲2.1.2系统需以智能大脑调度引擎为驱动，通过融合法院、工单、员工等多个方面十余项指标，根据实时变化的执行条件，智能决策最佳分配策略，自动将工单精准派发至部署于全国各地各呼叫中心适合专员，实现以数据驱动的、高效集约的电话呼叫管理体系建设。。</w:t>
            </w:r>
            <w:r>
              <w:rPr>
                <w:rFonts w:ascii="仿宋_GB2312" w:hAnsi="仿宋_GB2312" w:cs="仿宋_GB2312" w:eastAsia="仿宋_GB2312"/>
                <w:sz w:val="21"/>
                <w:b/>
                <w:color w:val="000000"/>
              </w:rPr>
              <w:t>（提供包括但不限于检测报告、彩页、功能界面截图、详细功能说明、技术白皮书等佐证材料</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属于供应商自助开发软件需提供软件著作权认证证书，供应商使用第三方软件产品需要提供厂家许可。</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color w:val="000000"/>
              </w:rPr>
              <w:t>2.1.3系统可在线播放、下载送达过程中与受送达人电话沟通的录音。</w:t>
            </w:r>
          </w:p>
          <w:p>
            <w:pPr>
              <w:pStyle w:val="null3"/>
              <w:jc w:val="both"/>
            </w:pPr>
            <w:r>
              <w:rPr>
                <w:rFonts w:ascii="仿宋_GB2312" w:hAnsi="仿宋_GB2312" w:cs="仿宋_GB2312" w:eastAsia="仿宋_GB2312"/>
                <w:sz w:val="21"/>
                <w:color w:val="000000"/>
              </w:rPr>
              <w:t>2.1.4系统对通话内容自动录音并形成录音转文字版本。电话沟通结束后，系统将录音文件以WAV的文件格式关联到该电话送达任务中，录音文件可在线打开或保存下载，并与送达报告书一同回传至内网送达平台。</w:t>
            </w:r>
          </w:p>
          <w:p>
            <w:pPr>
              <w:pStyle w:val="null3"/>
              <w:jc w:val="both"/>
            </w:pPr>
            <w:r>
              <w:rPr>
                <w:rFonts w:ascii="仿宋_GB2312" w:hAnsi="仿宋_GB2312" w:cs="仿宋_GB2312" w:eastAsia="仿宋_GB2312"/>
                <w:sz w:val="21"/>
                <w:color w:val="000000"/>
              </w:rPr>
              <w:t>2.2电子送达功能</w:t>
            </w:r>
          </w:p>
          <w:p>
            <w:pPr>
              <w:pStyle w:val="null3"/>
              <w:jc w:val="both"/>
            </w:pPr>
            <w:r>
              <w:rPr>
                <w:rFonts w:ascii="仿宋_GB2312" w:hAnsi="仿宋_GB2312" w:cs="仿宋_GB2312" w:eastAsia="仿宋_GB2312"/>
                <w:sz w:val="21"/>
                <w:color w:val="000000"/>
              </w:rPr>
              <w:t>2.2.1电子送达的渠道为手机短信、电子邮箱、门户端等，当事人可以分别通过手机、电子邮箱和网站门户端查看接收和下载文书。</w:t>
            </w:r>
          </w:p>
          <w:p>
            <w:pPr>
              <w:pStyle w:val="null3"/>
              <w:jc w:val="both"/>
            </w:pPr>
            <w:r>
              <w:rPr>
                <w:rFonts w:ascii="仿宋_GB2312" w:hAnsi="仿宋_GB2312" w:cs="仿宋_GB2312" w:eastAsia="仿宋_GB2312"/>
                <w:sz w:val="21"/>
                <w:color w:val="000000"/>
              </w:rPr>
              <w:t>2.2.2选择电话沟通中确认过的电子送达地址进行送达，系统提示“发送成功”，即该案件电子送达文书已送达至当事人手机终端。</w:t>
            </w:r>
          </w:p>
          <w:p>
            <w:pPr>
              <w:pStyle w:val="null3"/>
              <w:jc w:val="both"/>
            </w:pPr>
            <w:r>
              <w:rPr>
                <w:rFonts w:ascii="仿宋_GB2312" w:hAnsi="仿宋_GB2312" w:cs="仿宋_GB2312" w:eastAsia="仿宋_GB2312"/>
                <w:sz w:val="21"/>
                <w:color w:val="000000"/>
              </w:rPr>
              <w:t>2.2.3系统支持对短信发送成功的页面进行截图，记录了发送的当事人、发送渠道、发送文书、发送时间等。</w:t>
            </w:r>
          </w:p>
          <w:p>
            <w:pPr>
              <w:pStyle w:val="null3"/>
              <w:jc w:val="both"/>
            </w:pPr>
            <w:r>
              <w:rPr>
                <w:rFonts w:ascii="仿宋_GB2312" w:hAnsi="仿宋_GB2312" w:cs="仿宋_GB2312" w:eastAsia="仿宋_GB2312"/>
                <w:sz w:val="21"/>
                <w:color w:val="000000"/>
              </w:rPr>
              <w:t>2.2.4系统自动将同一案件的关联送达任务进行统计归纳，法官可迅速了解承办案件的送达整体情况。</w:t>
            </w:r>
          </w:p>
          <w:p>
            <w:pPr>
              <w:pStyle w:val="null3"/>
              <w:jc w:val="both"/>
            </w:pPr>
            <w:r>
              <w:rPr>
                <w:rFonts w:ascii="仿宋_GB2312" w:hAnsi="仿宋_GB2312" w:cs="仿宋_GB2312" w:eastAsia="仿宋_GB2312"/>
                <w:sz w:val="21"/>
                <w:color w:val="000000"/>
              </w:rPr>
              <w:t>2.2.5电子送达发送成功后，会给当事人发送达一套短信提醒【XXXX】XXX，XXX人民法院向您发送了（2025）***民初**号案件相关文书，请点击：**链接查看并下载文书。</w:t>
            </w:r>
          </w:p>
          <w:p>
            <w:pPr>
              <w:pStyle w:val="null3"/>
              <w:jc w:val="both"/>
            </w:pPr>
            <w:r>
              <w:rPr>
                <w:rFonts w:ascii="仿宋_GB2312" w:hAnsi="仿宋_GB2312" w:cs="仿宋_GB2312" w:eastAsia="仿宋_GB2312"/>
                <w:sz w:val="21"/>
                <w:color w:val="000000"/>
              </w:rPr>
              <w:t>▲2.2.6电子送达回证：电子送达发送成功之后，提供为当事人发送短信提醒，当事人点击查看后，将自动生成电子送达回证。电子送达回证包括案件基本信息、当事人信息、送达渠道、点击查看记录和电话沟通的简要记录。。</w:t>
            </w:r>
            <w:r>
              <w:rPr>
                <w:rFonts w:ascii="仿宋_GB2312" w:hAnsi="仿宋_GB2312" w:cs="仿宋_GB2312" w:eastAsia="仿宋_GB2312"/>
                <w:sz w:val="21"/>
                <w:b/>
                <w:color w:val="000000"/>
              </w:rPr>
              <w:t>（提供包括但不限于检测报告、彩页、功能界面截图、详细功能说明、技术白皮书等佐证材料</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属于供应商自助开发软件需提供软件著作权认证证书，供应商使用第三方软件产品需要提供厂家许可。</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color w:val="000000"/>
              </w:rPr>
              <w:t>2.3邮寄送达功能</w:t>
            </w:r>
          </w:p>
          <w:p>
            <w:pPr>
              <w:pStyle w:val="null3"/>
              <w:jc w:val="both"/>
            </w:pPr>
            <w:r>
              <w:rPr>
                <w:rFonts w:ascii="仿宋_GB2312" w:hAnsi="仿宋_GB2312" w:cs="仿宋_GB2312" w:eastAsia="仿宋_GB2312"/>
                <w:sz w:val="21"/>
                <w:color w:val="000000"/>
              </w:rPr>
              <w:t>2.3.1提供任务式管理，可实现对受送达人信息修改和调整。</w:t>
            </w:r>
          </w:p>
          <w:p>
            <w:pPr>
              <w:pStyle w:val="null3"/>
              <w:jc w:val="both"/>
            </w:pPr>
            <w:r>
              <w:rPr>
                <w:rFonts w:ascii="仿宋_GB2312" w:hAnsi="仿宋_GB2312" w:cs="仿宋_GB2312" w:eastAsia="仿宋_GB2312"/>
                <w:sz w:val="21"/>
                <w:color w:val="000000"/>
              </w:rPr>
              <w:t>2.3.2系统可实现邮寄信息的回填处理，登记邮寄单号，自动获取物流信息交换到内网办案系统，供法官团队查阅。支持包括邮寄工单任务建立、快递面单打印、回执上传、物流快递记录查询、邮寄任务管理等功能。</w:t>
            </w:r>
          </w:p>
          <w:p>
            <w:pPr>
              <w:pStyle w:val="null3"/>
              <w:jc w:val="both"/>
            </w:pPr>
            <w:r>
              <w:rPr>
                <w:rFonts w:ascii="仿宋_GB2312" w:hAnsi="仿宋_GB2312" w:cs="仿宋_GB2312" w:eastAsia="仿宋_GB2312"/>
                <w:sz w:val="21"/>
                <w:color w:val="000000"/>
              </w:rPr>
              <w:t>2.3.3提供配套的工具系统，可支持批量的文书打印、法院专递面单套打功能；并具有合并邮寄功能，实现对同一当事人的多份文书或多个案件进行邮寄合并处理功能。支持查询在途邮寄任务，可以自定义逾期时间，法官和书记员可以通过微信端实时查看邮寄状态、签收状态、签收异常提醒等。</w:t>
            </w:r>
          </w:p>
          <w:p>
            <w:pPr>
              <w:pStyle w:val="null3"/>
              <w:jc w:val="both"/>
            </w:pPr>
            <w:r>
              <w:rPr>
                <w:rFonts w:ascii="仿宋_GB2312" w:hAnsi="仿宋_GB2312" w:cs="仿宋_GB2312" w:eastAsia="仿宋_GB2312"/>
                <w:sz w:val="21"/>
                <w:color w:val="000000"/>
              </w:rPr>
              <w:t>2.4外出送达功能</w:t>
            </w:r>
          </w:p>
          <w:p>
            <w:pPr>
              <w:pStyle w:val="null3"/>
              <w:jc w:val="both"/>
            </w:pPr>
            <w:r>
              <w:rPr>
                <w:rFonts w:ascii="仿宋_GB2312" w:hAnsi="仿宋_GB2312" w:cs="仿宋_GB2312" w:eastAsia="仿宋_GB2312"/>
                <w:sz w:val="21"/>
                <w:color w:val="000000"/>
              </w:rPr>
              <w:t>▲2.4.1支持法官书记员团队自行上门或者第三方上门团队使用上门送达产品和功能，支持线上发起送达任务和线下执行送达。。</w:t>
            </w:r>
            <w:r>
              <w:rPr>
                <w:rFonts w:ascii="仿宋_GB2312" w:hAnsi="仿宋_GB2312" w:cs="仿宋_GB2312" w:eastAsia="仿宋_GB2312"/>
                <w:sz w:val="21"/>
                <w:b/>
                <w:color w:val="000000"/>
              </w:rPr>
              <w:t>（提供包括但不限于检测报告、彩页、功能界面截图、详细功能说明、技术白皮书等佐证材料</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属于供应商自助开发软件需提供软件著作权认证证书，供应商使用第三方软件产品需要提供厂家许可。</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color w:val="000000"/>
              </w:rPr>
              <w:t>2.4.2外出送达功能包含上门拍照、录入结果等，每次送达进行任务式管理。</w:t>
            </w:r>
          </w:p>
          <w:p>
            <w:pPr>
              <w:pStyle w:val="null3"/>
              <w:jc w:val="both"/>
            </w:pPr>
            <w:r>
              <w:rPr>
                <w:rFonts w:ascii="仿宋_GB2312" w:hAnsi="仿宋_GB2312" w:cs="仿宋_GB2312" w:eastAsia="仿宋_GB2312"/>
                <w:sz w:val="21"/>
                <w:color w:val="000000"/>
              </w:rPr>
              <w:t>2.4.3系统支持自动筛选和锁定直接上门送达的任务和地址。</w:t>
            </w:r>
          </w:p>
          <w:p>
            <w:pPr>
              <w:pStyle w:val="null3"/>
              <w:jc w:val="both"/>
            </w:pPr>
            <w:r>
              <w:rPr>
                <w:rFonts w:ascii="仿宋_GB2312" w:hAnsi="仿宋_GB2312" w:cs="仿宋_GB2312" w:eastAsia="仿宋_GB2312"/>
                <w:sz w:val="21"/>
                <w:color w:val="000000"/>
              </w:rPr>
              <w:t>2.4.4系统可实现任务接收、自动导航、送达现场拍照、载有见证人签字的符合要求的工作记录上传、送达任务反馈、当事人评价、地理位置标记等功能。</w:t>
            </w:r>
          </w:p>
          <w:p>
            <w:pPr>
              <w:pStyle w:val="null3"/>
              <w:jc w:val="both"/>
            </w:pPr>
            <w:r>
              <w:rPr>
                <w:rFonts w:ascii="仿宋_GB2312" w:hAnsi="仿宋_GB2312" w:cs="仿宋_GB2312" w:eastAsia="仿宋_GB2312"/>
                <w:sz w:val="21"/>
                <w:color w:val="000000"/>
              </w:rPr>
              <w:t>2.4.5系统具有重新进行指派外出任务的功能，提供对所有送达任务的状态跟踪、送达结果的反馈。</w:t>
            </w:r>
          </w:p>
          <w:p>
            <w:pPr>
              <w:pStyle w:val="null3"/>
              <w:jc w:val="both"/>
            </w:pPr>
            <w:r>
              <w:rPr>
                <w:rFonts w:ascii="仿宋_GB2312" w:hAnsi="仿宋_GB2312" w:cs="仿宋_GB2312" w:eastAsia="仿宋_GB2312"/>
                <w:sz w:val="21"/>
                <w:color w:val="000000"/>
              </w:rPr>
              <w:t>2.4.6可结合案件情况人工干预送达过程；系统自动将同一案件的关联文书送达情况进行统计归纳，法官可迅速了解承办案件的送达整体情况。</w:t>
            </w:r>
          </w:p>
          <w:p>
            <w:pPr>
              <w:pStyle w:val="null3"/>
              <w:jc w:val="both"/>
            </w:pPr>
            <w:r>
              <w:rPr>
                <w:rFonts w:ascii="仿宋_GB2312" w:hAnsi="仿宋_GB2312" w:cs="仿宋_GB2312" w:eastAsia="仿宋_GB2312"/>
                <w:sz w:val="21"/>
                <w:color w:val="000000"/>
              </w:rPr>
              <w:t>2.4.7系统应包含、法院外出送达管理员和外出送达人员使用的功能和权限。</w:t>
            </w:r>
          </w:p>
          <w:p>
            <w:pPr>
              <w:pStyle w:val="null3"/>
              <w:jc w:val="both"/>
            </w:pPr>
            <w:r>
              <w:rPr>
                <w:rFonts w:ascii="仿宋_GB2312" w:hAnsi="仿宋_GB2312" w:cs="仿宋_GB2312" w:eastAsia="仿宋_GB2312"/>
                <w:sz w:val="21"/>
                <w:color w:val="000000"/>
              </w:rPr>
              <w:t>2.5当事人端功能：提供手机短信、PC端和电子邮箱三个端的登录、查看、下载文书功能。</w:t>
            </w:r>
            <w:r>
              <w:br/>
            </w:r>
            <w:r>
              <w:rPr>
                <w:rFonts w:ascii="仿宋_GB2312" w:hAnsi="仿宋_GB2312" w:cs="仿宋_GB2312" w:eastAsia="仿宋_GB2312"/>
                <w:sz w:val="21"/>
                <w:color w:val="000000"/>
              </w:rPr>
              <w:t>2.5.1收到送达平台通知短信后，通过点击短信内的链接自动访问司法文书送达门户进行登录、查阅、签收。</w:t>
            </w:r>
          </w:p>
          <w:p>
            <w:pPr>
              <w:pStyle w:val="null3"/>
              <w:jc w:val="both"/>
            </w:pPr>
            <w:r>
              <w:rPr>
                <w:rFonts w:ascii="仿宋_GB2312" w:hAnsi="仿宋_GB2312" w:cs="仿宋_GB2312" w:eastAsia="仿宋_GB2312"/>
                <w:sz w:val="21"/>
                <w:color w:val="000000"/>
              </w:rPr>
              <w:t>2.5.2收到平台通知短信后，登录PC端输入短信链接网址进行查看、下载和签收；</w:t>
            </w:r>
          </w:p>
          <w:p>
            <w:pPr>
              <w:pStyle w:val="null3"/>
              <w:jc w:val="both"/>
            </w:pPr>
            <w:r>
              <w:rPr>
                <w:rFonts w:ascii="仿宋_GB2312" w:hAnsi="仿宋_GB2312" w:cs="仿宋_GB2312" w:eastAsia="仿宋_GB2312"/>
                <w:sz w:val="21"/>
                <w:color w:val="000000"/>
              </w:rPr>
              <w:t>2.5.3提供电子邮件签收功能，可通过电子邮件进行查看、下载和签收。</w:t>
            </w:r>
          </w:p>
          <w:p>
            <w:pPr>
              <w:pStyle w:val="null3"/>
              <w:jc w:val="both"/>
            </w:pPr>
            <w:r>
              <w:rPr>
                <w:rFonts w:ascii="仿宋_GB2312" w:hAnsi="仿宋_GB2312" w:cs="仿宋_GB2312" w:eastAsia="仿宋_GB2312"/>
                <w:sz w:val="21"/>
                <w:color w:val="000000"/>
              </w:rPr>
              <w:t>▲2.6法官书记员端功能：为法官团队提供微信小程序实时查询送达进度和结果的功能。。</w:t>
            </w:r>
            <w:r>
              <w:rPr>
                <w:rFonts w:ascii="仿宋_GB2312" w:hAnsi="仿宋_GB2312" w:cs="仿宋_GB2312" w:eastAsia="仿宋_GB2312"/>
                <w:sz w:val="21"/>
                <w:b/>
                <w:color w:val="000000"/>
              </w:rPr>
              <w:t>（提供包括但不限于检测报告、彩页、功能界面截图、详细功能说明、技术白皮书等佐证材料</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属于供应商自助开发软件需提供软件著作权认证证书，供应商使用第三方软件产品需要提供厂家许可。</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color w:val="000000"/>
              </w:rPr>
              <w:t>2.6.1法官团队登陆后，不需要输入案件号，直接可以同步查看已委托的送达案件送达进展的情况，包括当前的送达状态、送达节点、送达时长、是否完成送达等。</w:t>
            </w:r>
          </w:p>
          <w:p>
            <w:pPr>
              <w:pStyle w:val="null3"/>
              <w:jc w:val="both"/>
            </w:pPr>
            <w:r>
              <w:rPr>
                <w:rFonts w:ascii="仿宋_GB2312" w:hAnsi="仿宋_GB2312" w:cs="仿宋_GB2312" w:eastAsia="仿宋_GB2312"/>
                <w:sz w:val="21"/>
                <w:color w:val="000000"/>
              </w:rPr>
              <w:t>2.6.2支持完成的送达可以自动给法官团队推送信息，提醒法官团队登陆内网进行查看和下载。</w:t>
            </w:r>
          </w:p>
          <w:p>
            <w:pPr>
              <w:pStyle w:val="null3"/>
              <w:jc w:val="both"/>
            </w:pPr>
            <w:r>
              <w:rPr>
                <w:rFonts w:ascii="仿宋_GB2312" w:hAnsi="仿宋_GB2312" w:cs="仿宋_GB2312" w:eastAsia="仿宋_GB2312"/>
                <w:sz w:val="21"/>
                <w:color w:val="000000"/>
              </w:rPr>
              <w:t>2.7批量立卷功能：法官委托送达的案件可以支持通过外网送达平台进行批量立卷，进行送达信息和送达文书的导入后，在业务系统完成全流程的送达工作。</w:t>
            </w:r>
          </w:p>
          <w:p>
            <w:pPr>
              <w:pStyle w:val="null3"/>
              <w:jc w:val="both"/>
            </w:pPr>
            <w:r>
              <w:rPr>
                <w:rFonts w:ascii="仿宋_GB2312" w:hAnsi="仿宋_GB2312" w:cs="仿宋_GB2312" w:eastAsia="仿宋_GB2312"/>
                <w:sz w:val="21"/>
                <w:color w:val="000000"/>
              </w:rPr>
              <w:t>2.8任务跟踪功能：系统支持对已推送的送达任务进度进行跟踪，可以查询全部送达任务情况；支持查看当前任务的处理过程详情，案件关联的所有任务报告书均可进行下载。</w:t>
            </w:r>
          </w:p>
          <w:p>
            <w:pPr>
              <w:pStyle w:val="null3"/>
              <w:jc w:val="both"/>
            </w:pPr>
            <w:r>
              <w:rPr>
                <w:rFonts w:ascii="仿宋_GB2312" w:hAnsi="仿宋_GB2312" w:cs="仿宋_GB2312" w:eastAsia="仿宋_GB2312"/>
                <w:sz w:val="21"/>
                <w:color w:val="000000"/>
              </w:rPr>
              <w:t>▲2.9数据统计功能：全院报表、各庭报表数据统计功能：包括每日、每月完成送达的案件数量、送达人次、送达文书类型、平均送达时长，以及电子送达、电话送达、邮寄送达、上门送达等送达方式的成功率等。。</w:t>
            </w:r>
            <w:r>
              <w:rPr>
                <w:rFonts w:ascii="仿宋_GB2312" w:hAnsi="仿宋_GB2312" w:cs="仿宋_GB2312" w:eastAsia="仿宋_GB2312"/>
                <w:sz w:val="21"/>
                <w:b/>
                <w:color w:val="000000"/>
              </w:rPr>
              <w:t>（提供包括但不限于检测报告、彩页、功能界面截图、详细功能说明、技术白皮书等佐证材料</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属于供应商自助开发软件需提供软件著作权认证证书，供应商使用第三方软件产品需要提供厂家许可。</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 xml:space="preserve"> </w:t>
            </w:r>
          </w:p>
          <w:p>
            <w:pPr>
              <w:pStyle w:val="null3"/>
              <w:jc w:val="both"/>
            </w:pPr>
            <w:r>
              <w:rPr>
                <w:rFonts w:ascii="仿宋_GB2312" w:hAnsi="仿宋_GB2312" w:cs="仿宋_GB2312" w:eastAsia="仿宋_GB2312"/>
                <w:sz w:val="21"/>
                <w:color w:val="000000"/>
              </w:rPr>
              <w:t>▲2.10案号管理功能：可以查询到每个案号对应的文书，每份文书对应的签收记录；文书管理，可以查询到每份文书的名称及对应的签收记录；送达记录，查看每份文书，发送记录及签收情况，方便查阅；对于已发送短信提醒的电子文书，进行记录，记录发送时间、接收人、接收号码、发送状态等信息。。</w:t>
            </w:r>
            <w:r>
              <w:rPr>
                <w:rFonts w:ascii="仿宋_GB2312" w:hAnsi="仿宋_GB2312" w:cs="仿宋_GB2312" w:eastAsia="仿宋_GB2312"/>
                <w:sz w:val="21"/>
                <w:b/>
                <w:color w:val="000000"/>
              </w:rPr>
              <w:t>（提供包括但不限于检测报告、彩页、功能界面截图、详细功能说明、技术白皮书等佐证材料</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属于供应商自助开发软件需提供软件著作权认证证书，供应商使用第三方软件产品需要提供厂家许可。</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color w:val="000000"/>
              </w:rPr>
              <w:t>▲2.11操作日志管理功能：为了实现系统安全，提供了记录所有用户的关键操作形成操作日志的服务。日志管理一方面可以记录所有操作，做到有据可查，另一方面可以根据需要通过多种方式对记录的操作日志进行检索和查询，进一步分析生成统计数据。。</w:t>
            </w:r>
            <w:r>
              <w:rPr>
                <w:rFonts w:ascii="仿宋_GB2312" w:hAnsi="仿宋_GB2312" w:cs="仿宋_GB2312" w:eastAsia="仿宋_GB2312"/>
                <w:sz w:val="21"/>
                <w:b/>
                <w:color w:val="000000"/>
              </w:rPr>
              <w:t>（提供包括但不限于检测报告、彩页、功能界面截图、详细功能说明、技术白皮书等佐证材料</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属于供应商自助开发软件需提供软件著作权认证证书，供应商使用第三方软件产品需要提供厂家许可。</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color w:val="000000"/>
              </w:rPr>
              <w:t>▲2.12权限管理功能：提供查询管辖权限内所有送达任务的送达数据统计服务，法院送达监管部门可对全院正在进行流转的送达任务和已办结的送达任务进行列表查看和送达详情查阅。。</w:t>
            </w:r>
            <w:r>
              <w:rPr>
                <w:rFonts w:ascii="仿宋_GB2312" w:hAnsi="仿宋_GB2312" w:cs="仿宋_GB2312" w:eastAsia="仿宋_GB2312"/>
                <w:sz w:val="21"/>
                <w:b/>
                <w:color w:val="000000"/>
              </w:rPr>
              <w:t>（提供包括但不限于检测报告、彩页、功能界面截图、详细功能说明、技术白皮书等佐证材料</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属于供应商自助开发软件需提供软件著作权认证证书，供应商使用第三方软件产品需要提供厂家许可。</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color w:val="000000"/>
              </w:rPr>
              <w:t>2.13系统配置管理功能</w:t>
            </w:r>
          </w:p>
          <w:p>
            <w:pPr>
              <w:pStyle w:val="null3"/>
              <w:jc w:val="both"/>
            </w:pPr>
            <w:r>
              <w:rPr>
                <w:rFonts w:ascii="仿宋_GB2312" w:hAnsi="仿宋_GB2312" w:cs="仿宋_GB2312" w:eastAsia="仿宋_GB2312"/>
                <w:sz w:val="21"/>
                <w:color w:val="000000"/>
              </w:rPr>
              <w:t>2.13.1要求对审判字号进行管理，方便法官创建任务。提供高级送达管理服务，系统管理员可对全部送达任务进行检索、编辑、处理等操作。</w:t>
            </w:r>
          </w:p>
          <w:p>
            <w:pPr>
              <w:pStyle w:val="null3"/>
              <w:jc w:val="both"/>
            </w:pPr>
            <w:r>
              <w:rPr>
                <w:rFonts w:ascii="仿宋_GB2312" w:hAnsi="仿宋_GB2312" w:cs="仿宋_GB2312" w:eastAsia="仿宋_GB2312"/>
                <w:sz w:val="21"/>
                <w:color w:val="000000"/>
              </w:rPr>
              <w:t>2.13.2实现单独用户管理、用户组管理、系统角色管理等功能，实现用户分级管理，权限管理可以对用户在平台中操作许可范围进行定义，确保送达平台的安全使用。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b/>
                <w:color w:val="000000"/>
              </w:rPr>
              <w:t>2.14系统安全管理：系统需遵循国家网络安全等级保护规定，具备信息传输加密及数据保护机制（提供通过公安机关备案的网络安全等级保护备案证明三级及以上相关证明材料，并加盖公章）</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集约送达系统智能化能力</w:t>
            </w:r>
            <w:r>
              <w:rPr>
                <w:rFonts w:ascii="仿宋_GB2312" w:hAnsi="仿宋_GB2312" w:cs="仿宋_GB2312" w:eastAsia="仿宋_GB2312"/>
                <w:sz w:val="21"/>
                <w:b/>
                <w:color w:val="000000"/>
              </w:rPr>
              <w:t>：包括智能协查、智能催点、智能审核等</w:t>
            </w:r>
          </w:p>
          <w:p>
            <w:pPr>
              <w:pStyle w:val="null3"/>
              <w:jc w:val="both"/>
            </w:pPr>
            <w:r>
              <w:rPr>
                <w:rFonts w:ascii="仿宋_GB2312" w:hAnsi="仿宋_GB2312" w:cs="仿宋_GB2312" w:eastAsia="仿宋_GB2312"/>
                <w:sz w:val="21"/>
                <w:color w:val="000000"/>
              </w:rPr>
              <w:t>▲3.1智能协查：系统应对法官创建的送达任务中的信息进行核实，有信息缺失时协助修改；当事人失联情况下，协助制作协查函，通过三大运营商、历史涉案信息库、公民身份信息库进行比对查询。</w:t>
            </w:r>
            <w:r>
              <w:rPr>
                <w:rFonts w:ascii="仿宋_GB2312" w:hAnsi="仿宋_GB2312" w:cs="仿宋_GB2312" w:eastAsia="仿宋_GB2312"/>
                <w:sz w:val="21"/>
                <w:b/>
                <w:color w:val="000000"/>
              </w:rPr>
              <w:t>（提供包括但不限于检测报告、彩页、功能界面截图、详细功能说明、技术白皮书等佐证材料</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属于供应商自助开发软件需提供软件著作权认证证书，供应商使用第三方软件产品需要提供厂家许可。</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color w:val="000000"/>
              </w:rPr>
              <w:t>▲3.2智能催点：系统将实时监控送达状态，若发现短信送达后2小时内未被阅读，系统将自动创建催点任务并列入执行队列，以最大4-5次的可配置频率发起外呼，通过语音提示引导当事人查看文书链接。</w:t>
            </w:r>
            <w:r>
              <w:rPr>
                <w:rFonts w:ascii="仿宋_GB2312" w:hAnsi="仿宋_GB2312" w:cs="仿宋_GB2312" w:eastAsia="仿宋_GB2312"/>
                <w:sz w:val="21"/>
                <w:b/>
                <w:color w:val="000000"/>
              </w:rPr>
              <w:t>（提供包括但不限于检测报告、彩页、功能界面截图、详细功能说明、技术白皮书等佐证材料</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属于供应商自助开发软件需提供软件著作权认证证书，供应商使用第三方软件产品需要提供厂家许可。</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color w:val="000000"/>
              </w:rPr>
              <w:t>▲3.3智能文书审核：对于推送至送达系统平台的任务，系统将利用OCR识别技术进行智能审核管理，审核通过的文书继续进行后续文书送达，审核失败的文书将进行人工二次审核。</w:t>
            </w:r>
            <w:r>
              <w:rPr>
                <w:rFonts w:ascii="仿宋_GB2312" w:hAnsi="仿宋_GB2312" w:cs="仿宋_GB2312" w:eastAsia="仿宋_GB2312"/>
                <w:sz w:val="21"/>
                <w:b/>
                <w:color w:val="000000"/>
              </w:rPr>
              <w:t>（提供包括但不限于检测报告、彩页、功能界面截图、详细功能说明、技术白皮书等佐证材料</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属于供应商自助开发软件需提供软件著作权认证证书，供应商使用第三方软件产品需要提供厂家许可。</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4．集约化送达成效</w:t>
            </w:r>
          </w:p>
          <w:p>
            <w:pPr>
              <w:pStyle w:val="null3"/>
              <w:jc w:val="both"/>
            </w:pPr>
            <w:r>
              <w:rPr>
                <w:rFonts w:ascii="仿宋_GB2312" w:hAnsi="仿宋_GB2312" w:cs="仿宋_GB2312" w:eastAsia="仿宋_GB2312"/>
                <w:sz w:val="21"/>
                <w:color w:val="000000"/>
              </w:rPr>
              <w:t>4.1电子送达指标要求：（1）原告类平均电子送达成功率指标应不低于70%（原告类电子送达成功率=原告类文书电子送达成功数/原告类文书电子送达完结数）；（2）被告类平均电子送达成功率指标应不低于60%（被告类文书电子送达成功率=被告电子送达成功数/被告电子送达完结数）；（3）案件平均电子送达时长不超过48小时（在电子送达阶段完结的任务总送达时长/该阶段完结任务数）</w:t>
            </w:r>
          </w:p>
          <w:p>
            <w:pPr>
              <w:pStyle w:val="null3"/>
              <w:jc w:val="both"/>
            </w:pPr>
            <w:r>
              <w:rPr>
                <w:rFonts w:ascii="仿宋_GB2312" w:hAnsi="仿宋_GB2312" w:cs="仿宋_GB2312" w:eastAsia="仿宋_GB2312"/>
                <w:sz w:val="21"/>
                <w:color w:val="000000"/>
              </w:rPr>
              <w:t>4.2电子送达服务规范：可根据法院配置天数跟进，最多不超过3天内拨打5通，7日内开庭、速裁案件按1天3通跟进。</w:t>
            </w:r>
          </w:p>
          <w:p>
            <w:pPr>
              <w:pStyle w:val="null3"/>
              <w:jc w:val="both"/>
            </w:pPr>
            <w:r>
              <w:rPr>
                <w:rFonts w:ascii="仿宋_GB2312" w:hAnsi="仿宋_GB2312" w:cs="仿宋_GB2312" w:eastAsia="仿宋_GB2312"/>
                <w:sz w:val="21"/>
                <w:b/>
                <w:color w:val="000000"/>
              </w:rPr>
              <w:t>5.内外网数据交换</w:t>
            </w:r>
          </w:p>
          <w:p>
            <w:pPr>
              <w:pStyle w:val="null3"/>
              <w:jc w:val="both"/>
            </w:pPr>
            <w:r>
              <w:rPr>
                <w:rFonts w:ascii="仿宋_GB2312" w:hAnsi="仿宋_GB2312" w:cs="仿宋_GB2312" w:eastAsia="仿宋_GB2312"/>
                <w:sz w:val="21"/>
                <w:color w:val="000000"/>
              </w:rPr>
              <w:t>▲5.1供应商须承诺具备“支持法官团队使用智能辅助工具发起送达任务，实现与办案系统无切换账户跳转，具备文书推送功能”的服务功能。</w:t>
            </w:r>
            <w:r>
              <w:rPr>
                <w:rFonts w:ascii="仿宋_GB2312" w:hAnsi="仿宋_GB2312" w:cs="仿宋_GB2312" w:eastAsia="仿宋_GB2312"/>
                <w:sz w:val="21"/>
                <w:b/>
                <w:color w:val="000000"/>
              </w:rPr>
              <w:t>（提供承诺函，格式自拟）</w:t>
            </w:r>
          </w:p>
          <w:p>
            <w:pPr>
              <w:pStyle w:val="null3"/>
              <w:jc w:val="both"/>
            </w:pPr>
            <w:r>
              <w:rPr>
                <w:rFonts w:ascii="仿宋_GB2312" w:hAnsi="仿宋_GB2312" w:cs="仿宋_GB2312" w:eastAsia="仿宋_GB2312"/>
                <w:sz w:val="21"/>
                <w:color w:val="000000"/>
              </w:rPr>
              <w:t>▲5.2供应商须承诺“送达任务完结后，送达结果可返回至法院办案系统，支持法官团队从内网办案系统查看和下载回证”的服务功能。</w:t>
            </w:r>
            <w:r>
              <w:rPr>
                <w:rFonts w:ascii="仿宋_GB2312" w:hAnsi="仿宋_GB2312" w:cs="仿宋_GB2312" w:eastAsia="仿宋_GB2312"/>
                <w:sz w:val="21"/>
                <w:b/>
                <w:color w:val="000000"/>
              </w:rPr>
              <w:t>（提供承诺函，格式自拟）</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3</w:t>
            </w:r>
            <w:r>
              <w:rPr>
                <w:rFonts w:ascii="仿宋_GB2312" w:hAnsi="仿宋_GB2312" w:cs="仿宋_GB2312" w:eastAsia="仿宋_GB2312"/>
                <w:sz w:val="21"/>
                <w:color w:val="000000"/>
              </w:rPr>
              <w:t>司法专递</w:t>
            </w:r>
            <w:r>
              <w:rPr>
                <w:rFonts w:ascii="仿宋_GB2312" w:hAnsi="仿宋_GB2312" w:cs="仿宋_GB2312" w:eastAsia="仿宋_GB2312"/>
                <w:sz w:val="21"/>
                <w:color w:val="000000"/>
              </w:rPr>
              <w:t>EMS物流系统：支持系统与司法专递EMS物流系统对接，自动显示邮寄状态、签收状态等。法官及受送达人均可查询邮寄在途文书的去向，法官和书记员可以通过微信端实时查看邮寄状态、签收状态、签收异常提醒等。</w:t>
            </w:r>
          </w:p>
          <w:p>
            <w:pPr>
              <w:pStyle w:val="null3"/>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硬件部署服务和技术运维服务</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.1提供统一电话送达专属号码实施电话送达。</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.2司法专邮打印机1部、高拍仪1部，负责部署安装及调试工作。</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.3结合功能使用的实际情况，不定期升级和完善系统功能，针对迭代后的产品功能进行软件升级服务等。</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.4配备专职的客户服务经理，提供5*8小时系统使用指导和疑难问题解决服务，对于不能及时解决的问</w:t>
            </w:r>
            <w:r>
              <w:rPr>
                <w:rFonts w:ascii="仿宋_GB2312" w:hAnsi="仿宋_GB2312" w:cs="仿宋_GB2312" w:eastAsia="仿宋_GB2312"/>
                <w:sz w:val="21"/>
                <w:color w:val="000000"/>
              </w:rPr>
              <w:t>题，应在</w:t>
            </w:r>
            <w:r>
              <w:rPr>
                <w:rFonts w:ascii="仿宋_GB2312" w:hAnsi="仿宋_GB2312" w:cs="仿宋_GB2312" w:eastAsia="仿宋_GB2312"/>
                <w:sz w:val="21"/>
                <w:color w:val="000000"/>
              </w:rPr>
              <w:t>24小时内反馈解决方案。</w:t>
            </w:r>
          </w:p>
          <w:p>
            <w:pPr>
              <w:pStyle w:val="null3"/>
              <w:jc w:val="both"/>
            </w:pPr>
            <w:r>
              <w:rPr>
                <w:rFonts w:ascii="仿宋_GB2312" w:hAnsi="仿宋_GB2312" w:cs="仿宋_GB2312" w:eastAsia="仿宋_GB2312"/>
                <w:sz w:val="21"/>
                <w:b/>
                <w:color w:val="000000"/>
              </w:rPr>
              <w:t>二、其他要求</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供应商根据</w:t>
            </w:r>
            <w:r>
              <w:rPr>
                <w:rFonts w:ascii="仿宋_GB2312" w:hAnsi="仿宋_GB2312" w:cs="仿宋_GB2312" w:eastAsia="仿宋_GB2312"/>
                <w:sz w:val="21"/>
                <w:color w:val="000000"/>
              </w:rPr>
              <w:t>本项目采购需求</w:t>
            </w:r>
            <w:r>
              <w:rPr>
                <w:rFonts w:ascii="仿宋_GB2312" w:hAnsi="仿宋_GB2312" w:cs="仿宋_GB2312" w:eastAsia="仿宋_GB2312"/>
                <w:sz w:val="21"/>
                <w:color w:val="000000"/>
              </w:rPr>
              <w:t>提供相关培训计划方案，并列出培训的具体内容及方式，包括培训人数、培训时间、培训内容等。</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供应商针对本项目做好风险管理，建立快速响应机制，有效应对突发情况</w:t>
            </w:r>
            <w:r>
              <w:rPr>
                <w:rFonts w:ascii="仿宋_GB2312" w:hAnsi="仿宋_GB2312" w:cs="仿宋_GB2312" w:eastAsia="仿宋_GB2312"/>
                <w:sz w:val="21"/>
                <w:color w:val="000000"/>
              </w:rPr>
              <w:t>。</w:t>
            </w:r>
          </w:p>
          <w:p>
            <w:pPr>
              <w:pStyle w:val="null3"/>
              <w:ind w:right="-195"/>
              <w:jc w:val="both"/>
            </w:pPr>
            <w:r>
              <w:rPr>
                <w:rFonts w:ascii="仿宋_GB2312" w:hAnsi="仿宋_GB2312" w:cs="仿宋_GB2312" w:eastAsia="仿宋_GB2312"/>
                <w:sz w:val="21"/>
                <w:b/>
                <w:color w:val="000000"/>
                <w:shd w:fill="FFFFFF" w:val="clear"/>
              </w:rPr>
              <w:t>三</w:t>
            </w:r>
            <w:r>
              <w:rPr>
                <w:rFonts w:ascii="仿宋_GB2312" w:hAnsi="仿宋_GB2312" w:cs="仿宋_GB2312" w:eastAsia="仿宋_GB2312"/>
                <w:sz w:val="21"/>
                <w:b/>
                <w:color w:val="000000"/>
                <w:shd w:fill="FFFFFF" w:val="clear"/>
              </w:rPr>
              <w:t>、本项目需要落实的政府采购政策</w:t>
            </w:r>
          </w:p>
          <w:p>
            <w:pPr>
              <w:pStyle w:val="null3"/>
              <w:ind w:right="-195" w:firstLine="420"/>
              <w:jc w:val="both"/>
            </w:pPr>
            <w:r>
              <w:rPr>
                <w:rFonts w:ascii="仿宋_GB2312" w:hAnsi="仿宋_GB2312" w:cs="仿宋_GB2312" w:eastAsia="仿宋_GB2312"/>
                <w:sz w:val="21"/>
                <w:color w:val="000000"/>
              </w:rPr>
              <w:t>1.中小企业发展政策：《关于进一步加大政府采购支持中小企业力度的通知》（财库〔2022〕</w:t>
            </w:r>
          </w:p>
          <w:p>
            <w:pPr>
              <w:pStyle w:val="null3"/>
              <w:ind w:right="-195"/>
              <w:jc w:val="both"/>
            </w:pPr>
            <w:r>
              <w:rPr>
                <w:rFonts w:ascii="仿宋_GB2312" w:hAnsi="仿宋_GB2312" w:cs="仿宋_GB2312" w:eastAsia="仿宋_GB2312"/>
                <w:sz w:val="21"/>
                <w:color w:val="000000"/>
              </w:rPr>
              <w:t>19号）《政府采购促进中小企业发展管理办法》（财库〔2020〕46号）；《财政部、司法部关于</w:t>
            </w:r>
          </w:p>
          <w:p>
            <w:pPr>
              <w:pStyle w:val="null3"/>
              <w:ind w:right="-195"/>
              <w:jc w:val="both"/>
            </w:pPr>
            <w:r>
              <w:rPr>
                <w:rFonts w:ascii="仿宋_GB2312" w:hAnsi="仿宋_GB2312" w:cs="仿宋_GB2312" w:eastAsia="仿宋_GB2312"/>
                <w:sz w:val="21"/>
                <w:color w:val="000000"/>
              </w:rPr>
              <w:t>政府采购支持监狱企业发展有关问题的通知》（财库〔</w:t>
            </w:r>
            <w:r>
              <w:rPr>
                <w:rFonts w:ascii="仿宋_GB2312" w:hAnsi="仿宋_GB2312" w:cs="仿宋_GB2312" w:eastAsia="仿宋_GB2312"/>
                <w:sz w:val="21"/>
                <w:color w:val="000000"/>
              </w:rPr>
              <w:t>2014〕68号）；《关于促进残疾人就业政府采购政策的通知》（财库〔2017〕141号）；《陕西省中小企业政府采购信用融资办法》（陕财办采〔2018〕23号）。</w:t>
            </w:r>
          </w:p>
          <w:p>
            <w:pPr>
              <w:pStyle w:val="null3"/>
              <w:ind w:right="-195"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绿色发展政策：《国务院办公厅关于建立政府强制采购节能产品制度的通知》（国办发〔</w:t>
            </w:r>
            <w:r>
              <w:rPr>
                <w:rFonts w:ascii="仿宋_GB2312" w:hAnsi="仿宋_GB2312" w:cs="仿宋_GB2312" w:eastAsia="仿宋_GB2312"/>
                <w:sz w:val="21"/>
                <w:color w:val="000000"/>
              </w:rPr>
              <w:t>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pPr>
              <w:pStyle w:val="null3"/>
              <w:ind w:right="-195" w:firstLine="420"/>
              <w:jc w:val="both"/>
            </w:pPr>
            <w:r>
              <w:rPr>
                <w:rFonts w:ascii="仿宋_GB2312" w:hAnsi="仿宋_GB2312" w:cs="仿宋_GB2312" w:eastAsia="仿宋_GB2312"/>
                <w:sz w:val="21"/>
                <w:color w:val="000000"/>
              </w:rPr>
              <w:t>3.支持本国产业政策：《财政部关于印发&lt;进口产品管理办法&gt;的通知》（财库〔2007〕119号）；《财政部办公厅关于政府采购进口产品管理有关问题的通知》（财办库〔2008〕248号）。</w:t>
            </w:r>
          </w:p>
          <w:p>
            <w:pPr>
              <w:pStyle w:val="null3"/>
              <w:ind w:right="-195" w:firstLine="420"/>
              <w:jc w:val="both"/>
            </w:pPr>
            <w:r>
              <w:rPr>
                <w:rFonts w:ascii="仿宋_GB2312" w:hAnsi="仿宋_GB2312" w:cs="仿宋_GB2312" w:eastAsia="仿宋_GB2312"/>
                <w:sz w:val="21"/>
              </w:rPr>
              <w:t xml:space="preserve">4.支持创新等政府采购政策。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根据采购内容对本项目配备相关人员，数量合理、经验丰富。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根据采购内容匹配相关设备。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蓝田县人民法院。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对项目进行整体验收，供应商协助配合。其内容包括采购文件以及响应文件中所有服务内容，以及质量是否达到现行国家有关验收规范“合格”标准、是否按照采购人要求实施、是否按照采购人要求提供相关培训、是否在规定时间内完成工作。 1.服务内容和质量最终验收达不到采购文件要求和响应文件承诺的，或在项目实施中发现采购人不能容忍的缺陷等，将视为验收不合格，供应商应在采购人要求的时间内无条件免费进行整改。 2.验收标准：按采购文件、响应文件及澄清函等进行验收。 3.验收合格后，填写验收单，双方签字生效。</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以最终签订的合同为准，符合国家及行业相应的标准、规范。</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在领取成交通知书时提供纸质版响应文件2套，应通过专用制作软件直接打印，确保与电子投标文件保持一致，不允许修改和补充。提交地点：陕西省西安市雁塔区雁翔路111号赛格·中京坊公寓A一单元二层招标二部。 二、供应商的磋商报价是供应商响应磋商项目要求的全部工作内容的价格体现，包括供应商完成本项目所需的直接费、间接费、利润、税金及其他相关的一切费用。包括但不限于：人工费、设备费、管理费、技术服务费、验收费、采购代理服务费、利润和税金等全部费用。在提供服务的过程中的任何遗漏，均由成交供应商免费提供，采购人将不再支付任何费用。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四、合格供应商少于3家的处理 1.评审过程中，若出现合格供应商只有2家时，符合《政府采购竞争性磋商采购方式管理暂行办法》第三条第4项情形的，或者本项目为政府购买服务指导性目录中的，可以继续进行；只有1家时，采购人应依法重新组织采购活动。 2.评审过程中，除符合第1条规定情形外，若出现合格供应商少于3家时，采购人应依法重新组织采购活动。 五、分公司独立参与投标时，不能使用总公司的资质或业绩；总公司授权分公司或分支机构参与投标，可以使用总公司的资质或业绩。总公司单独参与投标时，可以使用分公司的业绩，在相关资质证书的管理要求和适用范围内可以使用分公司资质。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七、签名是指手写签名或者加盖名章(含电子签名或电子印章)，盖章是指加盖单位印章。 八、资格审查小组说明：1、根据《中华人民共和国政府采购法》第二十三条规定，采购人应依法对供应商的资格进行审查。经采购人授权，资格审查工作可由资格审查小组完成。2、资格审查小组，由经采购人授权的采购人代表和采购代理机构工作人员3人及以上单数组成，采购代理机构项目经理担任资格审查小组组长。3、资格审查小组成立后，全体小组成员应当在签到表中签到。 九、关于采购文件一次报价出现下列情况的，不需要供应商澄清，按以下原则处理： 1.报价中的大写金额和小写金额不一致的，以大写金额为准，但大写金额出现文字错误，导致金额无法判断的除外； 2.单价金额小数点或者百分比有明显错位的，应以总价为准，并修改单价； 3.总价金额与按单价汇总金额不一致的，以单价汇总金额计算结果为准。同时出现两种以上不一致的，按照前款规定的顺序修正。修正后的报价经加盖供应商(法定名称)电子印章后产生约束力，供应商不确认的，其报价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响应函</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法定代表人（单位负责人）参加磋商的，提供本人身份证复印件；法定代表人（单位负责人）授权他人参加磋商的，提供法定代表人（单位负责人）委托授权书及被授权代表的身份证复印件。</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参加本次磋商前3年内，在经营活动中没有重大违法记录的书面声明。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商务技术文件.docx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响应文件上法定代表人（单位负责人）或其委托代理人的签名齐全并加盖单位章。</w:t>
            </w:r>
          </w:p>
        </w:tc>
        <w:tc>
          <w:tcPr>
            <w:tcW w:type="dxa" w:w="1661"/>
          </w:tcPr>
          <w:p>
            <w:pPr>
              <w:pStyle w:val="null3"/>
            </w:pPr>
            <w:r>
              <w:rPr>
                <w:rFonts w:ascii="仿宋_GB2312" w:hAnsi="仿宋_GB2312" w:cs="仿宋_GB2312" w:eastAsia="仿宋_GB2312"/>
              </w:rPr>
              <w:t>响应文件封面 商务技术文件.docx 中小企业声明函 残疾人福利性单位声明函 标的清单 报价表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商务技术文件.docx 中小企业声明函 残疾人福利性单位声明函 标的清单 报价表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商务技术文件.docx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一、评审内容 根据供应商对本项目采购需求的理解程度进行综合评分。包括但不限于：1.集约化送达辅助服务；2.集约化送达系统具备的功能；3.集约送达系统智能化能力：包括智能协查、智能催点、智能审核等；4．集约化送达成效；5.内外网数据交换；6.硬件部署服务和技术运维服务。 二、评分标准 每提供一项得1.5分，最高得9分。每有一处内容存在缺陷扣0.5分，扣完为止；未提供或提供的内容与本项目不符得0分。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带“▲”技术指标、参数为重要技术指标、参数。供应商按照“▲”参数要求提供相关材料。▲共计16项，每提供1项得2分，最高得32分，未提供或提供的内容与本项目不符得0分。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集约化送达成效</w:t>
            </w:r>
          </w:p>
        </w:tc>
        <w:tc>
          <w:tcPr>
            <w:tcW w:type="dxa" w:w="2492"/>
          </w:tcPr>
          <w:p>
            <w:pPr>
              <w:pStyle w:val="null3"/>
            </w:pPr>
            <w:r>
              <w:rPr>
                <w:rFonts w:ascii="仿宋_GB2312" w:hAnsi="仿宋_GB2312" w:cs="仿宋_GB2312" w:eastAsia="仿宋_GB2312"/>
              </w:rPr>
              <w:t>一、评审内容 供应商提供针对集约送达辅助实物管理平台，提供集约化送达成效相关方案，包括但不限于：1.电子送达指标要求，包含（1）原告类平均电子送达成功率指标应不低于70%（原告类电子送达成功率=原告类文书电子送达成功数/原告类文书电子送达完结数）；（2）被告类平均电子送达成功率指标应不低于60%（被告类文书电子送达成功率=被告电子送达成功数/被告电子送达完结数）；（3）案件平均电子送达时长不超过48小时（在电子送达阶段完结的任务总送达时长/该阶段完结任务数）； 2.电子送达服务规范：可根据法院配置天数跟进，最多不超过3天内拨打5通，7日内开庭、速裁案件按1天3通跟进。 方案需完善，分析全面，具有很强的合理性和可操作性。 二、评分标准 1.电子送达指标要求中3项内容每提供一项得3分，最高得9分；2.电子送达服务规范内容最高得3分。本大项共计12分，每有一处内容存在缺陷扣1分，扣完为止；未提供或提供的内容与本项目不符得0分。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硬件部署服务和技术运维服务</w:t>
            </w:r>
          </w:p>
        </w:tc>
        <w:tc>
          <w:tcPr>
            <w:tcW w:type="dxa" w:w="2492"/>
          </w:tcPr>
          <w:p>
            <w:pPr>
              <w:pStyle w:val="null3"/>
            </w:pPr>
            <w:r>
              <w:rPr>
                <w:rFonts w:ascii="仿宋_GB2312" w:hAnsi="仿宋_GB2312" w:cs="仿宋_GB2312" w:eastAsia="仿宋_GB2312"/>
              </w:rPr>
              <w:t>一、评审内容 供应商针对本项目采购需求提供硬件部署服务和技术运维服务相关方案，内容包括但不限于：1.提供统一电话送达专属号码实施电话送达；2.司法专邮打印机1部、高拍仪1部，负责部署安装及调试工作； 3.结合功能使用的实际情况，不定期升级和完善系统功能，针对迭代后的产品功能进行软件升级服务等；4.配备专职的客户服务经理，提供5*8小时系统使用指导和疑难问题解决服务，对于不能及时解决的问题，应在24小时内反馈解决方案。方案需完善，分析全面，具有很强的合理性和可操作性。 二、评分标准 每提供一项得3分，最高得12分。每有一处内容存在缺陷扣1分，扣完为止；未提供或提供的内容与本项目不符得0分。 备备注：缺陷是指内容不合理、虽有内容但不完善、内容表述前后不一致、与项目需求不匹配及其他不利于项目实施的任意一种情形。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服务质量保证方案</w:t>
            </w:r>
          </w:p>
        </w:tc>
        <w:tc>
          <w:tcPr>
            <w:tcW w:type="dxa" w:w="2492"/>
          </w:tcPr>
          <w:p>
            <w:pPr>
              <w:pStyle w:val="null3"/>
            </w:pPr>
            <w:r>
              <w:rPr>
                <w:rFonts w:ascii="仿宋_GB2312" w:hAnsi="仿宋_GB2312" w:cs="仿宋_GB2312" w:eastAsia="仿宋_GB2312"/>
              </w:rPr>
              <w:t>一、评审内容 供应商针对本项目采购需求实施制定服务保障方案，包括但不限于：1.项目推进计划、2.服务流程管理、3.组织实施方案等。要求项目质量目标明确，质量保证方案详细完善，能充分保障服务质量。 二、评分标准 每提供一项得3分，最高得9分。每有一处内容存在缺陷扣1分，扣完为止；未提供或提供的内容与本项目不符得0分。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供应商针对本项目做好风险管理，通过设计重大事件评判标准和处置办法，建立快速响应机制，有效应对突发情况，根据供应商提供的应急管理方案进行综合评分。 方案需完善、分析全面，具有很强的合理性和可操作性得3分；方案基本完善、分析全面，有合理性和可操作性得2分；方案不够完善，分析片面，可操作性不高得1分，未提供或提供的内容与本项目不符得0分。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供应商根据服务要求提供相关培训计划方案，并列出培训的具体内容及方式，包括1.培训人数、2.培训时间、3.培训内容等。培训计划方案内容需详细具体，针对性强，切实可行，能充分保障培训效果。 每提供一项得2分，最高得6分。每有一处内容存在缺陷扣1分，扣完为止；未提供或提供的内容与本项目不符得0分。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采购需求提供售后服务方案。包括但不限于：1.拟投入售后服务人员配置情况、2.后期系统运维、3.项目交付采购人后出现故障的响应时间、4.解决故障时间等。售后服务方案需详细具体，针对性强，切实可行，能充分保障售后服务。 每提供一项得1分，最高得4分。每有一处内容存在缺陷扣0.5分，扣完为止；未提供或提供的内容与本项目不符得0分。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具有2022年1月1日至今的类似业绩(以合同签订日期为准)，业绩以合同复印件为依据。每个业绩得3分，最高得3分。未提供得0分。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2014〕214号文件第二十四条和财库〔2020〕46号文件的规定，采用低价优先法计，以本次满足磋商文件要求的最后最低磋商报价为磋商基准价，其磋商报价为满分。供应商的磋商报价得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