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F20A3">
      <w:pPr>
        <w:keepNext w:val="0"/>
        <w:keepLines w:val="0"/>
        <w:pageBreakBefore w:val="0"/>
        <w:widowControl w:val="0"/>
        <w:numPr>
          <w:ilvl w:val="0"/>
          <w:numId w:val="0"/>
        </w:numPr>
        <w:kinsoku/>
        <w:wordWrap/>
        <w:overflowPunct/>
        <w:topLinePunct w:val="0"/>
        <w:autoSpaceDE w:val="0"/>
        <w:autoSpaceDN w:val="0"/>
        <w:bidi w:val="0"/>
        <w:adjustRightInd w:val="0"/>
        <w:snapToGrid w:val="0"/>
        <w:spacing w:before="0" w:line="480" w:lineRule="auto"/>
        <w:ind w:right="0" w:rightChars="0"/>
        <w:jc w:val="center"/>
        <w:textAlignment w:val="auto"/>
        <w:outlineLvl w:val="0"/>
        <w:rPr>
          <w:rFonts w:hint="eastAsia" w:ascii="宋体" w:hAnsi="宋体" w:eastAsia="宋体" w:cs="宋体"/>
          <w:b/>
          <w:bCs/>
          <w:color w:val="auto"/>
          <w:sz w:val="32"/>
          <w:szCs w:val="32"/>
          <w:highlight w:val="none"/>
          <w:lang w:val="en-US" w:eastAsia="zh-CN"/>
        </w:rPr>
      </w:pPr>
      <w:r>
        <w:rPr>
          <w:rFonts w:hint="eastAsia" w:ascii="宋体" w:hAnsi="宋体" w:cs="宋体"/>
          <w:b/>
          <w:bCs/>
          <w:color w:val="auto"/>
          <w:sz w:val="32"/>
          <w:szCs w:val="32"/>
          <w:highlight w:val="none"/>
          <w:lang w:val="en-US" w:eastAsia="zh-CN"/>
        </w:rPr>
        <w:t>合同参考格式</w:t>
      </w:r>
    </w:p>
    <w:p w14:paraId="102D8244">
      <w:pPr>
        <w:spacing w:after="0"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（注：本合同样本仅供参考，具体条款内容由采购人和成交供应商协商确定，但不得改变采购文件、响应文件、成交通知书等实质性内容。）</w:t>
      </w:r>
    </w:p>
    <w:p w14:paraId="3EE63908">
      <w:pPr>
        <w:spacing w:line="360" w:lineRule="auto"/>
        <w:ind w:firstLine="480" w:firstLineChars="200"/>
        <w:outlineLvl w:val="9"/>
        <w:rPr>
          <w:rFonts w:hint="eastAsia" w:ascii="宋体" w:hAnsi="宋体" w:eastAsia="宋体" w:cs="宋体"/>
          <w:sz w:val="24"/>
          <w:szCs w:val="24"/>
        </w:rPr>
      </w:pPr>
    </w:p>
    <w:p w14:paraId="12AFFD89">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甲方（采购人）：_____________</w:t>
      </w:r>
    </w:p>
    <w:p w14:paraId="5F3175CF">
      <w:pPr>
        <w:spacing w:line="360" w:lineRule="auto"/>
        <w:ind w:left="480" w:leftChars="200"/>
        <w:outlineLvl w:val="9"/>
        <w:rPr>
          <w:rFonts w:hint="eastAsia" w:ascii="宋体" w:hAnsi="宋体" w:eastAsia="宋体" w:cs="宋体"/>
          <w:sz w:val="24"/>
          <w:szCs w:val="24"/>
        </w:rPr>
      </w:pPr>
      <w:r>
        <w:rPr>
          <w:rFonts w:hint="eastAsia" w:ascii="宋体" w:hAnsi="宋体" w:eastAsia="宋体" w:cs="宋体"/>
          <w:sz w:val="24"/>
          <w:szCs w:val="24"/>
        </w:rPr>
        <w:t>甲方住所：___________________</w:t>
      </w:r>
    </w:p>
    <w:p w14:paraId="21604704">
      <w:pPr>
        <w:spacing w:line="360" w:lineRule="auto"/>
        <w:ind w:left="480" w:leftChars="200"/>
        <w:outlineLvl w:val="9"/>
        <w:rPr>
          <w:rFonts w:hint="eastAsia" w:ascii="宋体" w:hAnsi="宋体" w:eastAsia="宋体" w:cs="宋体"/>
          <w:sz w:val="24"/>
          <w:szCs w:val="24"/>
        </w:rPr>
      </w:pPr>
      <w:r>
        <w:rPr>
          <w:rFonts w:hint="eastAsia" w:ascii="宋体" w:hAnsi="宋体" w:eastAsia="宋体" w:cs="宋体"/>
          <w:sz w:val="24"/>
          <w:szCs w:val="24"/>
        </w:rPr>
        <w:t>乙方（中标供应商）：_________</w:t>
      </w:r>
    </w:p>
    <w:p w14:paraId="53412863">
      <w:pPr>
        <w:spacing w:line="360" w:lineRule="auto"/>
        <w:ind w:left="480" w:leftChars="200"/>
        <w:outlineLvl w:val="9"/>
        <w:rPr>
          <w:rFonts w:hint="eastAsia" w:ascii="宋体" w:hAnsi="宋体" w:eastAsia="宋体" w:cs="宋体"/>
          <w:sz w:val="24"/>
          <w:szCs w:val="24"/>
        </w:rPr>
      </w:pPr>
      <w:r>
        <w:rPr>
          <w:rFonts w:hint="eastAsia" w:ascii="宋体" w:hAnsi="宋体" w:eastAsia="宋体" w:cs="宋体"/>
          <w:sz w:val="24"/>
          <w:szCs w:val="24"/>
        </w:rPr>
        <w:t>乙方住所：___________________</w:t>
      </w:r>
    </w:p>
    <w:p w14:paraId="03A92208">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根据《中华人民共和国政府采购法》及实施条例、《中华人民共和国民法典》等有关规定，为确保甲方采购项目的顺利实施，甲、乙双方在平等自愿原则下签订本合同，并共同遵守如下条款：</w:t>
      </w:r>
    </w:p>
    <w:p w14:paraId="5BFDEAFF">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第一条  项目基本情况</w:t>
      </w:r>
    </w:p>
    <w:p w14:paraId="2BE48C98">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1．采购标的：</w:t>
      </w:r>
    </w:p>
    <w:p w14:paraId="2F97C88E">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2．数量：</w:t>
      </w:r>
    </w:p>
    <w:p w14:paraId="0D214136">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第二条  履约期限、地点及方式</w:t>
      </w:r>
    </w:p>
    <w:p w14:paraId="462D38DE">
      <w:pPr>
        <w:spacing w:line="360" w:lineRule="auto"/>
        <w:ind w:firstLine="480" w:firstLineChars="200"/>
        <w:jc w:val="both"/>
        <w:outlineLvl w:val="9"/>
        <w:rPr>
          <w:rFonts w:hint="eastAsia" w:ascii="宋体" w:hAnsi="宋体" w:eastAsia="宋体" w:cs="宋体"/>
          <w:sz w:val="24"/>
          <w:szCs w:val="24"/>
          <w:highlight w:val="yellow"/>
          <w:lang w:val="en-US" w:eastAsia="zh-CN"/>
        </w:rPr>
      </w:pPr>
      <w:r>
        <w:rPr>
          <w:rFonts w:hint="eastAsia" w:ascii="宋体" w:hAnsi="宋体" w:eastAsia="宋体" w:cs="宋体"/>
          <w:sz w:val="24"/>
          <w:szCs w:val="24"/>
          <w:highlight w:val="none"/>
        </w:rPr>
        <w:t>1．履约期限：</w:t>
      </w:r>
      <w:r>
        <w:rPr>
          <w:rFonts w:hint="eastAsia" w:ascii="宋体" w:hAnsi="宋体" w:cs="宋体"/>
          <w:sz w:val="24"/>
          <w:szCs w:val="24"/>
          <w:highlight w:val="none"/>
          <w:lang w:eastAsia="zh-CN"/>
        </w:rPr>
        <w:t>自合同签订之日起至2026年10月30日</w:t>
      </w:r>
    </w:p>
    <w:p w14:paraId="46CC156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2．履约地点：</w:t>
      </w:r>
    </w:p>
    <w:p w14:paraId="332B24A7">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3．履约方式：</w:t>
      </w:r>
    </w:p>
    <w:p w14:paraId="67814A9E">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第三条  质量标准</w:t>
      </w:r>
    </w:p>
    <w:p w14:paraId="5C5E3DB1">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14:paraId="3492E0FE">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w:t>
      </w:r>
    </w:p>
    <w:p w14:paraId="13D78294">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第四条  合同价款及支付方式</w:t>
      </w:r>
    </w:p>
    <w:p w14:paraId="13A4F1AF">
      <w:pPr>
        <w:spacing w:line="360" w:lineRule="auto"/>
        <w:ind w:firstLine="480" w:firstLineChars="200"/>
        <w:jc w:val="both"/>
        <w:outlineLvl w:val="9"/>
        <w:rPr>
          <w:rFonts w:hint="eastAsia" w:ascii="宋体" w:hAnsi="宋体" w:eastAsia="宋体" w:cs="宋体"/>
          <w:sz w:val="24"/>
          <w:szCs w:val="24"/>
          <w:highlight w:val="none"/>
        </w:rPr>
      </w:pPr>
      <w:r>
        <w:rPr>
          <w:rFonts w:hint="eastAsia" w:ascii="宋体" w:hAnsi="宋体" w:eastAsia="宋体" w:cs="宋体"/>
          <w:sz w:val="24"/>
          <w:szCs w:val="24"/>
        </w:rPr>
        <w:t>1．合同</w:t>
      </w:r>
      <w:r>
        <w:rPr>
          <w:rFonts w:hint="eastAsia" w:ascii="宋体" w:hAnsi="宋体" w:eastAsia="宋体" w:cs="宋体"/>
          <w:sz w:val="24"/>
          <w:szCs w:val="24"/>
          <w:highlight w:val="none"/>
        </w:rPr>
        <w:t>价款包括：</w:t>
      </w:r>
    </w:p>
    <w:p w14:paraId="554DE7A4">
      <w:pPr>
        <w:spacing w:line="360" w:lineRule="auto"/>
        <w:ind w:firstLine="480" w:firstLineChars="200"/>
        <w:jc w:val="both"/>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2．支付方式：</w:t>
      </w:r>
    </w:p>
    <w:p w14:paraId="4B45ECF3">
      <w:pPr>
        <w:spacing w:line="360" w:lineRule="auto"/>
        <w:ind w:firstLine="480" w:firstLineChars="200"/>
        <w:jc w:val="both"/>
        <w:outlineLvl w:val="9"/>
        <w:rPr>
          <w:rFonts w:hint="eastAsia" w:ascii="宋体" w:hAnsi="宋体" w:eastAsia="宋体" w:cs="宋体"/>
          <w:sz w:val="24"/>
          <w:szCs w:val="24"/>
          <w:highlight w:val="yellow"/>
        </w:rPr>
      </w:pPr>
      <w:r>
        <w:rPr>
          <w:rFonts w:hint="eastAsia" w:ascii="宋体" w:hAnsi="宋体" w:eastAsia="宋体" w:cs="宋体"/>
          <w:sz w:val="24"/>
          <w:szCs w:val="24"/>
          <w:highlight w:val="none"/>
        </w:rPr>
        <w:t>合同签订后5个工作日内支付合同总价款的40%；项目通过专家评审后，5个工作日内支付合同总价款的30%；项目成果交付验收合格后，5个工作日内支付合同总价款的30%。</w:t>
      </w:r>
    </w:p>
    <w:p w14:paraId="1B8A8420">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3．结算方式：银行转账。</w:t>
      </w:r>
    </w:p>
    <w:p w14:paraId="6A46F163">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4．结算单位：由甲方负责结算，乙方须向甲方出具合法有效的完税发票，甲方进行支付结算。</w:t>
      </w:r>
    </w:p>
    <w:p w14:paraId="72364E5C">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第五条  验收标准及条件</w:t>
      </w:r>
    </w:p>
    <w:p w14:paraId="1B42A606">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1．初步验收：</w:t>
      </w:r>
    </w:p>
    <w:p w14:paraId="01D53EE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2．最终验收：</w:t>
      </w:r>
    </w:p>
    <w:p w14:paraId="1D81FDF1">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3．验收依据：</w:t>
      </w:r>
    </w:p>
    <w:p w14:paraId="0B2ED44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698A7EC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（2）本合同及附件文本；</w:t>
      </w:r>
    </w:p>
    <w:p w14:paraId="61251FC1">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13C7740F">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4．中标供应商应向采购人提交项目实施过程中的所有资料，以便采购人日后管理和维护。</w:t>
      </w:r>
    </w:p>
    <w:p w14:paraId="5B542D19">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第六条  知识产权（若有）</w:t>
      </w:r>
    </w:p>
    <w:p w14:paraId="7ABFA99E">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7CC6015D">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第七条  无产权瑕疵条款（若有）</w:t>
      </w:r>
    </w:p>
    <w:p w14:paraId="3A6B7E80">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02CA57FF">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第八条  双方的权利和义务</w:t>
      </w:r>
    </w:p>
    <w:p w14:paraId="5E1107E5">
      <w:pPr>
        <w:pStyle w:val="5"/>
        <w:spacing w:before="210" w:after="210" w:line="360" w:lineRule="auto"/>
        <w:ind w:firstLine="640"/>
        <w:outlineLvl w:val="9"/>
        <w:rPr>
          <w:rFonts w:hint="eastAsia" w:ascii="宋体" w:hAnsi="宋体" w:eastAsia="宋体" w:cs="宋体"/>
          <w:b w:val="0"/>
          <w:bCs w:val="0"/>
          <w:sz w:val="24"/>
          <w:szCs w:val="24"/>
        </w:rPr>
      </w:pPr>
      <w:r>
        <w:rPr>
          <w:rFonts w:hint="eastAsia" w:ascii="宋体" w:hAnsi="宋体" w:eastAsia="宋体" w:cs="宋体"/>
          <w:b w:val="0"/>
          <w:bCs w:val="0"/>
          <w:sz w:val="24"/>
          <w:szCs w:val="24"/>
        </w:rPr>
        <w:t>（一）甲方的权利和义务</w:t>
      </w:r>
    </w:p>
    <w:p w14:paraId="05BBB02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23A3CE88">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26EEDBB2">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4CCEC8BD">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391AF581">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5．验收应在甲方和乙方双方共同参加下进行。甲方组成验收小组按国家有关规定、规范进行验收，验收时将会邀请相关的专业人员或机构参与验收。</w:t>
      </w:r>
    </w:p>
    <w:p w14:paraId="6EE197A7">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6．国家法律、法规所规定由甲方承担的其它责任。</w:t>
      </w:r>
    </w:p>
    <w:p w14:paraId="0C8814BB">
      <w:pPr>
        <w:pStyle w:val="5"/>
        <w:spacing w:before="210" w:after="210" w:line="360" w:lineRule="auto"/>
        <w:ind w:firstLine="640"/>
        <w:outlineLvl w:val="9"/>
        <w:rPr>
          <w:rFonts w:hint="eastAsia" w:ascii="宋体" w:hAnsi="宋体" w:eastAsia="宋体" w:cs="宋体"/>
          <w:b w:val="0"/>
          <w:bCs w:val="0"/>
          <w:sz w:val="24"/>
          <w:szCs w:val="24"/>
        </w:rPr>
      </w:pPr>
      <w:r>
        <w:rPr>
          <w:rFonts w:hint="eastAsia" w:ascii="宋体" w:hAnsi="宋体" w:eastAsia="宋体" w:cs="宋体"/>
          <w:b w:val="0"/>
          <w:bCs w:val="0"/>
          <w:sz w:val="24"/>
          <w:szCs w:val="24"/>
        </w:rPr>
        <w:t>（二）乙方的权利和义务</w:t>
      </w:r>
    </w:p>
    <w:p w14:paraId="0895C864">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0DEAAF4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5275E5CC">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7B31621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432674A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3B1C4748">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九</w:t>
      </w:r>
      <w:r>
        <w:rPr>
          <w:rFonts w:hint="eastAsia" w:ascii="宋体" w:hAnsi="宋体" w:eastAsia="宋体" w:cs="宋体"/>
          <w:sz w:val="24"/>
          <w:szCs w:val="24"/>
        </w:rPr>
        <w:t>条  违约责任</w:t>
      </w:r>
    </w:p>
    <w:p w14:paraId="4EC976A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2BADB26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536B36E">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第十条  不可抗力事件处理</w:t>
      </w:r>
    </w:p>
    <w:p w14:paraId="27257DB2">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79A629C3">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06387F28">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14:paraId="132BEC05">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一</w:t>
      </w:r>
      <w:r>
        <w:rPr>
          <w:rFonts w:hint="eastAsia" w:ascii="宋体" w:hAnsi="宋体" w:eastAsia="宋体" w:cs="宋体"/>
          <w:sz w:val="24"/>
          <w:szCs w:val="24"/>
        </w:rPr>
        <w:t>条  合同的变更和终止</w:t>
      </w:r>
    </w:p>
    <w:p w14:paraId="2CF7053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14:paraId="0846ACBC">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二</w:t>
      </w:r>
      <w:r>
        <w:rPr>
          <w:rFonts w:hint="eastAsia" w:ascii="宋体" w:hAnsi="宋体" w:eastAsia="宋体" w:cs="宋体"/>
          <w:sz w:val="24"/>
          <w:szCs w:val="24"/>
        </w:rPr>
        <w:t>条  解决合同纠纷的方式</w:t>
      </w:r>
    </w:p>
    <w:p w14:paraId="4B8D958E">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14:paraId="0C49D935">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（1）向甲方所在地有管辖权的人民法院提起诉讼；</w:t>
      </w:r>
    </w:p>
    <w:p w14:paraId="50F444F6">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（2）向西安仲裁委员会按其仲裁规则申请仲裁。</w:t>
      </w:r>
    </w:p>
    <w:p w14:paraId="270C14F7">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14:paraId="3118B0AA">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三</w:t>
      </w:r>
      <w:r>
        <w:rPr>
          <w:rFonts w:hint="eastAsia" w:ascii="宋体" w:hAnsi="宋体" w:eastAsia="宋体" w:cs="宋体"/>
          <w:sz w:val="24"/>
          <w:szCs w:val="24"/>
        </w:rPr>
        <w:t>条  合同生效及其他</w:t>
      </w:r>
    </w:p>
    <w:p w14:paraId="77D7FC1A">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1．合同经双方法定代表人（单位负责人）或授权委托代理人签名并加盖单位公章并由采购代理机构盖章后生效。</w:t>
      </w:r>
    </w:p>
    <w:p w14:paraId="4BE61BA2">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1A7C3094">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3．本合同一式</w:t>
      </w:r>
      <w:r>
        <w:rPr>
          <w:rFonts w:hint="eastAsia" w:ascii="宋体" w:hAnsi="宋体" w:eastAsia="宋体" w:cs="宋体"/>
          <w:sz w:val="24"/>
          <w:szCs w:val="24"/>
          <w:lang w:val="en-US" w:eastAsia="zh-CN"/>
        </w:rPr>
        <w:t>肆</w:t>
      </w:r>
      <w:r>
        <w:rPr>
          <w:rFonts w:hint="eastAsia" w:ascii="宋体" w:hAnsi="宋体" w:eastAsia="宋体" w:cs="宋体"/>
          <w:sz w:val="24"/>
          <w:szCs w:val="24"/>
        </w:rPr>
        <w:t>份，自双方签章之日起起效。甲方贰份，乙方贰份，具有同等法律效力。</w:t>
      </w:r>
    </w:p>
    <w:p w14:paraId="3846893B">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四</w:t>
      </w:r>
      <w:r>
        <w:rPr>
          <w:rFonts w:hint="eastAsia" w:ascii="宋体" w:hAnsi="宋体" w:eastAsia="宋体" w:cs="宋体"/>
          <w:sz w:val="24"/>
          <w:szCs w:val="24"/>
        </w:rPr>
        <w:t>条  附件</w:t>
      </w:r>
    </w:p>
    <w:p w14:paraId="60983C0F">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1．项目招标文件</w:t>
      </w:r>
    </w:p>
    <w:p w14:paraId="382794CD">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2．项目修改澄清文件</w:t>
      </w:r>
    </w:p>
    <w:p w14:paraId="23A79504">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3．项目投标文件</w:t>
      </w:r>
    </w:p>
    <w:p w14:paraId="1402EBDF">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4．成交通知书</w:t>
      </w:r>
    </w:p>
    <w:p w14:paraId="5AD89BDA">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5．其他</w:t>
      </w:r>
    </w:p>
    <w:p w14:paraId="3E53E9EA">
      <w:pPr>
        <w:spacing w:line="360" w:lineRule="auto"/>
        <w:ind w:firstLine="480" w:firstLineChars="200"/>
        <w:jc w:val="both"/>
        <w:outlineLvl w:val="9"/>
        <w:rPr>
          <w:rFonts w:hint="eastAsia" w:ascii="宋体" w:hAnsi="宋体" w:eastAsia="宋体" w:cs="宋体"/>
          <w:sz w:val="24"/>
          <w:szCs w:val="24"/>
        </w:rPr>
      </w:pPr>
    </w:p>
    <w:p w14:paraId="0C43504E">
      <w:pPr>
        <w:spacing w:line="360" w:lineRule="auto"/>
        <w:jc w:val="both"/>
        <w:outlineLvl w:val="9"/>
        <w:rPr>
          <w:rFonts w:hint="eastAsia" w:ascii="宋体" w:hAnsi="宋体" w:eastAsia="宋体" w:cs="宋体"/>
          <w:sz w:val="24"/>
          <w:szCs w:val="24"/>
        </w:rPr>
      </w:pPr>
      <w:bookmarkStart w:id="0" w:name="_GoBack"/>
      <w:bookmarkEnd w:id="0"/>
    </w:p>
    <w:tbl>
      <w:tblPr>
        <w:tblStyle w:val="3"/>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7"/>
        <w:gridCol w:w="1917"/>
        <w:gridCol w:w="2388"/>
        <w:gridCol w:w="2046"/>
      </w:tblGrid>
      <w:tr w14:paraId="33F6B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44B44791">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甲方（盖章）：</w:t>
            </w:r>
          </w:p>
        </w:tc>
        <w:tc>
          <w:tcPr>
            <w:tcW w:w="1917" w:type="dxa"/>
            <w:noWrap w:val="0"/>
            <w:vAlign w:val="center"/>
          </w:tcPr>
          <w:p w14:paraId="4AF7EFDF">
            <w:pPr>
              <w:spacing w:line="360" w:lineRule="auto"/>
              <w:jc w:val="center"/>
              <w:outlineLvl w:val="9"/>
              <w:rPr>
                <w:rFonts w:hint="eastAsia" w:ascii="宋体" w:hAnsi="宋体" w:eastAsia="宋体" w:cs="宋体"/>
                <w:sz w:val="24"/>
                <w:szCs w:val="24"/>
              </w:rPr>
            </w:pPr>
          </w:p>
        </w:tc>
        <w:tc>
          <w:tcPr>
            <w:tcW w:w="2388" w:type="dxa"/>
            <w:noWrap w:val="0"/>
            <w:vAlign w:val="center"/>
          </w:tcPr>
          <w:p w14:paraId="6E5B0324">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乙方（盖章）：</w:t>
            </w:r>
          </w:p>
        </w:tc>
        <w:tc>
          <w:tcPr>
            <w:tcW w:w="2046" w:type="dxa"/>
            <w:noWrap w:val="0"/>
            <w:vAlign w:val="center"/>
          </w:tcPr>
          <w:p w14:paraId="0443AFA4">
            <w:pPr>
              <w:spacing w:line="360" w:lineRule="auto"/>
              <w:jc w:val="center"/>
              <w:outlineLvl w:val="9"/>
              <w:rPr>
                <w:rFonts w:hint="eastAsia" w:ascii="宋体" w:hAnsi="宋体" w:eastAsia="宋体" w:cs="宋体"/>
                <w:sz w:val="24"/>
                <w:szCs w:val="24"/>
              </w:rPr>
            </w:pPr>
          </w:p>
        </w:tc>
      </w:tr>
      <w:tr w14:paraId="770F9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0B5BEF3C">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法定代表人</w:t>
            </w:r>
          </w:p>
          <w:p w14:paraId="4F33275D">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（委托代理人）：</w:t>
            </w:r>
          </w:p>
        </w:tc>
        <w:tc>
          <w:tcPr>
            <w:tcW w:w="1917" w:type="dxa"/>
            <w:noWrap w:val="0"/>
            <w:vAlign w:val="center"/>
          </w:tcPr>
          <w:p w14:paraId="3210DA44">
            <w:pPr>
              <w:spacing w:line="360" w:lineRule="auto"/>
              <w:jc w:val="center"/>
              <w:outlineLvl w:val="9"/>
              <w:rPr>
                <w:rFonts w:hint="eastAsia" w:ascii="宋体" w:hAnsi="宋体" w:eastAsia="宋体" w:cs="宋体"/>
                <w:sz w:val="24"/>
                <w:szCs w:val="24"/>
              </w:rPr>
            </w:pPr>
          </w:p>
        </w:tc>
        <w:tc>
          <w:tcPr>
            <w:tcW w:w="2388" w:type="dxa"/>
            <w:noWrap w:val="0"/>
            <w:vAlign w:val="center"/>
          </w:tcPr>
          <w:p w14:paraId="6D7D3EE0">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法定代表人</w:t>
            </w:r>
          </w:p>
          <w:p w14:paraId="44FFB364">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（委托代理人）：</w:t>
            </w:r>
          </w:p>
        </w:tc>
        <w:tc>
          <w:tcPr>
            <w:tcW w:w="2046" w:type="dxa"/>
            <w:noWrap w:val="0"/>
            <w:vAlign w:val="center"/>
          </w:tcPr>
          <w:p w14:paraId="6D428251">
            <w:pPr>
              <w:spacing w:line="360" w:lineRule="auto"/>
              <w:jc w:val="center"/>
              <w:outlineLvl w:val="9"/>
              <w:rPr>
                <w:rFonts w:hint="eastAsia" w:ascii="宋体" w:hAnsi="宋体" w:eastAsia="宋体" w:cs="宋体"/>
                <w:sz w:val="24"/>
                <w:szCs w:val="24"/>
              </w:rPr>
            </w:pPr>
          </w:p>
        </w:tc>
      </w:tr>
      <w:tr w14:paraId="3802C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5B87ED18">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地    址：</w:t>
            </w:r>
          </w:p>
        </w:tc>
        <w:tc>
          <w:tcPr>
            <w:tcW w:w="1917" w:type="dxa"/>
            <w:noWrap w:val="0"/>
            <w:vAlign w:val="center"/>
          </w:tcPr>
          <w:p w14:paraId="14783D3D">
            <w:pPr>
              <w:spacing w:line="360" w:lineRule="auto"/>
              <w:jc w:val="center"/>
              <w:outlineLvl w:val="9"/>
              <w:rPr>
                <w:rFonts w:hint="eastAsia" w:ascii="宋体" w:hAnsi="宋体" w:eastAsia="宋体" w:cs="宋体"/>
                <w:sz w:val="24"/>
                <w:szCs w:val="24"/>
              </w:rPr>
            </w:pPr>
          </w:p>
        </w:tc>
        <w:tc>
          <w:tcPr>
            <w:tcW w:w="2388" w:type="dxa"/>
            <w:noWrap w:val="0"/>
            <w:vAlign w:val="center"/>
          </w:tcPr>
          <w:p w14:paraId="3150503B">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地    址：</w:t>
            </w:r>
          </w:p>
        </w:tc>
        <w:tc>
          <w:tcPr>
            <w:tcW w:w="2046" w:type="dxa"/>
            <w:noWrap w:val="0"/>
            <w:vAlign w:val="center"/>
          </w:tcPr>
          <w:p w14:paraId="114EC9AA">
            <w:pPr>
              <w:spacing w:line="360" w:lineRule="auto"/>
              <w:jc w:val="center"/>
              <w:outlineLvl w:val="9"/>
              <w:rPr>
                <w:rFonts w:hint="eastAsia" w:ascii="宋体" w:hAnsi="宋体" w:eastAsia="宋体" w:cs="宋体"/>
                <w:sz w:val="24"/>
                <w:szCs w:val="24"/>
              </w:rPr>
            </w:pPr>
          </w:p>
        </w:tc>
      </w:tr>
      <w:tr w14:paraId="19B9F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4DD677DA">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开户银行：</w:t>
            </w:r>
          </w:p>
        </w:tc>
        <w:tc>
          <w:tcPr>
            <w:tcW w:w="1917" w:type="dxa"/>
            <w:noWrap w:val="0"/>
            <w:vAlign w:val="center"/>
          </w:tcPr>
          <w:p w14:paraId="2254990E">
            <w:pPr>
              <w:spacing w:line="360" w:lineRule="auto"/>
              <w:jc w:val="center"/>
              <w:outlineLvl w:val="9"/>
              <w:rPr>
                <w:rFonts w:hint="eastAsia" w:ascii="宋体" w:hAnsi="宋体" w:eastAsia="宋体" w:cs="宋体"/>
                <w:sz w:val="24"/>
                <w:szCs w:val="24"/>
              </w:rPr>
            </w:pPr>
          </w:p>
        </w:tc>
        <w:tc>
          <w:tcPr>
            <w:tcW w:w="2388" w:type="dxa"/>
            <w:noWrap w:val="0"/>
            <w:vAlign w:val="center"/>
          </w:tcPr>
          <w:p w14:paraId="4AAA9F61">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开户银行：</w:t>
            </w:r>
          </w:p>
        </w:tc>
        <w:tc>
          <w:tcPr>
            <w:tcW w:w="2046" w:type="dxa"/>
            <w:noWrap w:val="0"/>
            <w:vAlign w:val="center"/>
          </w:tcPr>
          <w:p w14:paraId="621E4E9C">
            <w:pPr>
              <w:spacing w:line="360" w:lineRule="auto"/>
              <w:jc w:val="center"/>
              <w:outlineLvl w:val="9"/>
              <w:rPr>
                <w:rFonts w:hint="eastAsia" w:ascii="宋体" w:hAnsi="宋体" w:eastAsia="宋体" w:cs="宋体"/>
                <w:sz w:val="24"/>
                <w:szCs w:val="24"/>
              </w:rPr>
            </w:pPr>
          </w:p>
        </w:tc>
      </w:tr>
      <w:tr w14:paraId="43D48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3ADCD404">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银行</w:t>
            </w:r>
            <w:r>
              <w:rPr>
                <w:rFonts w:hint="eastAsia" w:ascii="宋体" w:hAnsi="宋体" w:eastAsia="宋体" w:cs="宋体"/>
                <w:sz w:val="24"/>
                <w:szCs w:val="24"/>
                <w:lang w:val="en-US" w:eastAsia="zh-CN"/>
              </w:rPr>
              <w:t>账</w:t>
            </w:r>
            <w:r>
              <w:rPr>
                <w:rFonts w:hint="eastAsia" w:ascii="宋体" w:hAnsi="宋体" w:eastAsia="宋体" w:cs="宋体"/>
                <w:sz w:val="24"/>
                <w:szCs w:val="24"/>
              </w:rPr>
              <w:t>号：</w:t>
            </w:r>
          </w:p>
        </w:tc>
        <w:tc>
          <w:tcPr>
            <w:tcW w:w="1917" w:type="dxa"/>
            <w:noWrap w:val="0"/>
            <w:vAlign w:val="center"/>
          </w:tcPr>
          <w:p w14:paraId="67EF741D">
            <w:pPr>
              <w:spacing w:line="360" w:lineRule="auto"/>
              <w:jc w:val="center"/>
              <w:outlineLvl w:val="9"/>
              <w:rPr>
                <w:rFonts w:hint="eastAsia" w:ascii="宋体" w:hAnsi="宋体" w:eastAsia="宋体" w:cs="宋体"/>
                <w:sz w:val="24"/>
                <w:szCs w:val="24"/>
              </w:rPr>
            </w:pPr>
          </w:p>
        </w:tc>
        <w:tc>
          <w:tcPr>
            <w:tcW w:w="2388" w:type="dxa"/>
            <w:noWrap w:val="0"/>
            <w:vAlign w:val="center"/>
          </w:tcPr>
          <w:p w14:paraId="755AA2ED">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银行</w:t>
            </w:r>
            <w:r>
              <w:rPr>
                <w:rFonts w:hint="eastAsia" w:ascii="宋体" w:hAnsi="宋体" w:eastAsia="宋体" w:cs="宋体"/>
                <w:sz w:val="24"/>
                <w:szCs w:val="24"/>
                <w:lang w:val="en-US" w:eastAsia="zh-CN"/>
              </w:rPr>
              <w:t>账</w:t>
            </w:r>
            <w:r>
              <w:rPr>
                <w:rFonts w:hint="eastAsia" w:ascii="宋体" w:hAnsi="宋体" w:eastAsia="宋体" w:cs="宋体"/>
                <w:sz w:val="24"/>
                <w:szCs w:val="24"/>
              </w:rPr>
              <w:t>号：</w:t>
            </w:r>
          </w:p>
        </w:tc>
        <w:tc>
          <w:tcPr>
            <w:tcW w:w="2046" w:type="dxa"/>
            <w:noWrap w:val="0"/>
            <w:vAlign w:val="center"/>
          </w:tcPr>
          <w:p w14:paraId="58BBE8D6">
            <w:pPr>
              <w:spacing w:line="360" w:lineRule="auto"/>
              <w:jc w:val="center"/>
              <w:outlineLvl w:val="9"/>
              <w:rPr>
                <w:rFonts w:hint="eastAsia" w:ascii="宋体" w:hAnsi="宋体" w:eastAsia="宋体" w:cs="宋体"/>
                <w:sz w:val="24"/>
                <w:szCs w:val="24"/>
              </w:rPr>
            </w:pPr>
          </w:p>
        </w:tc>
      </w:tr>
      <w:tr w14:paraId="5751D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2BF6F8AD">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电    话：</w:t>
            </w:r>
          </w:p>
        </w:tc>
        <w:tc>
          <w:tcPr>
            <w:tcW w:w="1917" w:type="dxa"/>
            <w:noWrap w:val="0"/>
            <w:vAlign w:val="center"/>
          </w:tcPr>
          <w:p w14:paraId="1826FE34">
            <w:pPr>
              <w:spacing w:line="360" w:lineRule="auto"/>
              <w:jc w:val="center"/>
              <w:outlineLvl w:val="9"/>
              <w:rPr>
                <w:rFonts w:hint="eastAsia" w:ascii="宋体" w:hAnsi="宋体" w:eastAsia="宋体" w:cs="宋体"/>
                <w:sz w:val="24"/>
                <w:szCs w:val="24"/>
              </w:rPr>
            </w:pPr>
          </w:p>
        </w:tc>
        <w:tc>
          <w:tcPr>
            <w:tcW w:w="2388" w:type="dxa"/>
            <w:noWrap w:val="0"/>
            <w:vAlign w:val="center"/>
          </w:tcPr>
          <w:p w14:paraId="37F4BC2F">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电    话：</w:t>
            </w:r>
          </w:p>
        </w:tc>
        <w:tc>
          <w:tcPr>
            <w:tcW w:w="2046" w:type="dxa"/>
            <w:noWrap w:val="0"/>
            <w:vAlign w:val="center"/>
          </w:tcPr>
          <w:p w14:paraId="7AE061E3">
            <w:pPr>
              <w:spacing w:line="360" w:lineRule="auto"/>
              <w:jc w:val="center"/>
              <w:outlineLvl w:val="9"/>
              <w:rPr>
                <w:rFonts w:hint="eastAsia" w:ascii="宋体" w:hAnsi="宋体" w:eastAsia="宋体" w:cs="宋体"/>
                <w:sz w:val="24"/>
                <w:szCs w:val="24"/>
              </w:rPr>
            </w:pPr>
          </w:p>
        </w:tc>
      </w:tr>
      <w:tr w14:paraId="532A1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3765F8A2">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传    真：</w:t>
            </w:r>
          </w:p>
        </w:tc>
        <w:tc>
          <w:tcPr>
            <w:tcW w:w="1917" w:type="dxa"/>
            <w:noWrap w:val="0"/>
            <w:vAlign w:val="center"/>
          </w:tcPr>
          <w:p w14:paraId="2084BE93">
            <w:pPr>
              <w:spacing w:line="360" w:lineRule="auto"/>
              <w:jc w:val="center"/>
              <w:outlineLvl w:val="9"/>
              <w:rPr>
                <w:rFonts w:hint="eastAsia" w:ascii="宋体" w:hAnsi="宋体" w:eastAsia="宋体" w:cs="宋体"/>
                <w:sz w:val="24"/>
                <w:szCs w:val="24"/>
              </w:rPr>
            </w:pPr>
          </w:p>
        </w:tc>
        <w:tc>
          <w:tcPr>
            <w:tcW w:w="2388" w:type="dxa"/>
            <w:noWrap w:val="0"/>
            <w:vAlign w:val="center"/>
          </w:tcPr>
          <w:p w14:paraId="50A96AFB">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传    真：</w:t>
            </w:r>
          </w:p>
        </w:tc>
        <w:tc>
          <w:tcPr>
            <w:tcW w:w="2046" w:type="dxa"/>
            <w:noWrap w:val="0"/>
            <w:vAlign w:val="center"/>
          </w:tcPr>
          <w:p w14:paraId="686D1365">
            <w:pPr>
              <w:spacing w:line="360" w:lineRule="auto"/>
              <w:jc w:val="center"/>
              <w:outlineLvl w:val="9"/>
              <w:rPr>
                <w:rFonts w:hint="eastAsia" w:ascii="宋体" w:hAnsi="宋体" w:eastAsia="宋体" w:cs="宋体"/>
                <w:sz w:val="24"/>
                <w:szCs w:val="24"/>
              </w:rPr>
            </w:pPr>
          </w:p>
        </w:tc>
      </w:tr>
      <w:tr w14:paraId="70047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5D45E6F3">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签约日期：</w:t>
            </w:r>
          </w:p>
        </w:tc>
        <w:tc>
          <w:tcPr>
            <w:tcW w:w="1917" w:type="dxa"/>
            <w:noWrap w:val="0"/>
            <w:vAlign w:val="center"/>
          </w:tcPr>
          <w:p w14:paraId="7F589DBC">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年 月 日</w:t>
            </w:r>
          </w:p>
        </w:tc>
        <w:tc>
          <w:tcPr>
            <w:tcW w:w="2388" w:type="dxa"/>
            <w:noWrap w:val="0"/>
            <w:vAlign w:val="center"/>
          </w:tcPr>
          <w:p w14:paraId="6401F8FD">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签约日期：</w:t>
            </w:r>
          </w:p>
        </w:tc>
        <w:tc>
          <w:tcPr>
            <w:tcW w:w="2046" w:type="dxa"/>
            <w:noWrap w:val="0"/>
            <w:vAlign w:val="center"/>
          </w:tcPr>
          <w:p w14:paraId="6C592838">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年 月 日</w:t>
            </w:r>
          </w:p>
        </w:tc>
      </w:tr>
    </w:tbl>
    <w:p w14:paraId="3CD63A2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0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A33F74"/>
    <w:rsid w:val="29A33F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样式2"/>
    <w:basedOn w:val="6"/>
    <w:qFormat/>
    <w:uiPriority w:val="0"/>
    <w:pPr>
      <w:spacing w:line="560" w:lineRule="exact"/>
      <w:ind w:firstLine="643" w:firstLineChars="200"/>
      <w:jc w:val="both"/>
    </w:pPr>
    <w:rPr>
      <w:rFonts w:ascii="仿宋_GB2312" w:hAnsi="仿宋" w:eastAsia="仿宋_GB2312"/>
      <w:b/>
      <w:bCs/>
      <w:szCs w:val="32"/>
    </w:rPr>
  </w:style>
  <w:style w:type="paragraph" w:customStyle="1" w:styleId="6">
    <w:name w:val="@标题"/>
    <w:basedOn w:val="1"/>
    <w:next w:val="7"/>
    <w:qFormat/>
    <w:uiPriority w:val="0"/>
    <w:pPr>
      <w:keepNext/>
      <w:spacing w:before="50" w:beforeLines="50" w:after="50" w:afterLines="50"/>
      <w:jc w:val="center"/>
      <w:outlineLvl w:val="1"/>
    </w:pPr>
    <w:rPr>
      <w:rFonts w:ascii="Calibri" w:hAnsi="Calibri" w:eastAsia="黑体"/>
      <w:kern w:val="32"/>
      <w:sz w:val="32"/>
    </w:rPr>
  </w:style>
  <w:style w:type="paragraph" w:customStyle="1" w:styleId="7">
    <w:name w:val="@正文"/>
    <w:basedOn w:val="8"/>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8">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2025-11-24T03:03:00Z</dcterms:created>
  <dc:creator>傑。</dc:creator>
  <cp:lastModifiedBy>傑。</cp:lastModifiedBy>
  <dcterms:modified xsi:type="dcterms:W3CDTF">2025-11-24T03:03:21Z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591BAFCDC0D442CCB7B6905D3E5F2AC7_11</vt:lpwstr>
  </property>
  <property fmtid="{D5CDD505-2E9C-101B-9397-08002B2CF9AE}" pid="4" name="KSOTemplateDocerSaveRecord">
    <vt:lpwstr>eyJoZGlkIjoiMWYyM2ZiYWNjNzEyZWY3MmUwNjczNGRhMjYzNTQ4OWYiLCJ1c2VySWQiOiI2NDk3MDkwMjIifQ==</vt:lpwstr>
  </property>
</Properties>
</file>