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版本号：SXDZ2025-ZC-CS04520251126001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青坪村历史文化名村保护规划项目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SXDZ2025-ZC-CS045</w:t>
      </w:r>
      <w:r>
        <w:br/>
      </w:r>
      <w:r>
        <w:br/>
      </w:r>
      <w:r>
        <w:br/>
      </w:r>
    </w:p>
    <w:p>
      <w:pPr>
        <w:pStyle w:val="null3"/>
        <w:jc w:val="center"/>
        <w:outlineLvl w:val="2"/>
      </w:pPr>
      <w:r>
        <w:rPr>
          <w:rFonts w:ascii="仿宋_GB2312" w:hAnsi="仿宋_GB2312" w:cs="仿宋_GB2312" w:eastAsia="仿宋_GB2312"/>
          <w:sz w:val="28"/>
          <w:b/>
        </w:rPr>
        <w:t>西安市自然资源和规划局（本级）</w:t>
      </w:r>
    </w:p>
    <w:p>
      <w:pPr>
        <w:pStyle w:val="null3"/>
        <w:jc w:val="center"/>
        <w:outlineLvl w:val="2"/>
      </w:pPr>
      <w:r>
        <w:rPr>
          <w:rFonts w:ascii="仿宋_GB2312" w:hAnsi="仿宋_GB2312" w:cs="仿宋_GB2312" w:eastAsia="仿宋_GB2312"/>
          <w:sz w:val="28"/>
          <w:b/>
        </w:rPr>
        <w:t>陕西东卓项目管理有限公司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陕西东卓项目管理有限公司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青坪村历史文化名村保护规划项目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SXDZ2025-ZC-CS045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青坪村历史文化名村保护规划项目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蓝田县青坪村于2022年12月获评陕西省第五批省级历史文化名村，至今尚未编制保护规划。为了落实《陕西省历史文化名城名镇名村保护条例》、陕西省住房和城乡建设厅《关于2023年度城乡历史文化保护工作情况的通报》（陕建城发〔2024〕6号）、西安市政府办公厅关于《陕西省住房和城乡建设厅关于2023年度城乡历史文化保护工作情况的通报》工作事项批办单等文件要求，开展《西安市青坪村历史文化名村保护规划》的编制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1、响应主体：响应供应商需提供有效合格的具有统一社会信用代码的营业执照，其他组织经营的须提供合法凭证，自然人提供身份证明文件。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2、身份证明：法定代表人参加投标的，须提供本人身份证加盖公章的复印件；法定代表人授权他人参加投标的，须提供法定代表人授权委托书及被授权代表的身份证复印件。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财务状况报告：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p>
      <w:pPr>
        <w:pStyle w:val="null3"/>
      </w:pPr>
      <w:r>
        <w:rPr>
          <w:rFonts w:ascii="仿宋_GB2312" w:hAnsi="仿宋_GB2312" w:cs="仿宋_GB2312" w:eastAsia="仿宋_GB2312"/>
        </w:rPr>
        <w:t>4、社会保障资金缴纳证明：提供供应商2025年1月1日以来任意三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5、税收缴纳证明：提供供应商2025年1月1日以来任意三个月已缴纳的纳税证明或完税证明（至少包含增值税或企业所得税），依法免税的供应商应提供加盖公章的相关证明文件。</w:t>
      </w:r>
    </w:p>
    <w:p>
      <w:pPr>
        <w:pStyle w:val="null3"/>
      </w:pPr>
      <w:r>
        <w:rPr>
          <w:rFonts w:ascii="仿宋_GB2312" w:hAnsi="仿宋_GB2312" w:cs="仿宋_GB2312" w:eastAsia="仿宋_GB2312"/>
        </w:rPr>
        <w:t>6、履行合同能力的证明材料：具备履行合同所必需的设备和专业技术能力的证明材料(由供应商根据项目需求提供说明材料或者承诺)。</w:t>
      </w:r>
    </w:p>
    <w:p>
      <w:pPr>
        <w:pStyle w:val="null3"/>
      </w:pPr>
      <w:r>
        <w:rPr>
          <w:rFonts w:ascii="仿宋_GB2312" w:hAnsi="仿宋_GB2312" w:cs="仿宋_GB2312" w:eastAsia="仿宋_GB2312"/>
        </w:rPr>
        <w:t>7、企业能力：供应商须具备行政主管部门颁发的有效的《城乡规划编制甲级》资质。</w:t>
      </w:r>
    </w:p>
    <w:p>
      <w:pPr>
        <w:pStyle w:val="null3"/>
      </w:pPr>
      <w:r>
        <w:rPr>
          <w:rFonts w:ascii="仿宋_GB2312" w:hAnsi="仿宋_GB2312" w:cs="仿宋_GB2312" w:eastAsia="仿宋_GB2312"/>
        </w:rPr>
        <w:t>8、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9、控股、管理关系：单位负责人为同一人或者存在直接控股、管理关系的不同供应商，不得参加本次采购活动。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029-86787049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陕西东卓项目管理有限公司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陕西省西安市莲湖区大兴东路29号御笔城市广场（2号电梯）4层408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029-86637322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采购包1：670,300.00元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招标代理服务收费管理暂行办法》（计价格[2002]1980号）、《国家发展改革委办公厅关于招标代理服务收费有关问题的通知》（发改办价格[2003]857号）、《国家发展改革委关于降低部分建设项目收费标准规范收费行为等有关问题的通知》（发改办价格[2011]534号）的有关规定收取招标代理服务费。 企业名称：陕西东卓项目管理有限公司 开户银行：中国银行股份有限公司西安市经济技术开发区支行 账 号：102494375315 转账事由：（项目名称）代理服务费 咨询电话：029-86637322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陕西东卓项目管理有限公司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陕西东卓项目管理有限公司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陕西东卓项目管理有限公司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以合同约定的技术标准、服务要求及国家、行业相关规范作为验收依据。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联系电话：029-86637322</w:t>
      </w:r>
    </w:p>
    <w:p>
      <w:pPr>
        <w:pStyle w:val="null3"/>
      </w:pPr>
      <w:r>
        <w:rPr>
          <w:rFonts w:ascii="仿宋_GB2312" w:hAnsi="仿宋_GB2312" w:cs="仿宋_GB2312" w:eastAsia="仿宋_GB2312"/>
        </w:rPr>
        <w:t>地址：陕西省西安市莲湖区大兴东路29号御笔城市广场（2号电梯）4层408</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蓝田县青坪村于2022年12月获评陕西省第五批省级历史文化名村，至今尚未编制保护规划。为了落实《陕西省历史文化名城名镇名村保护条例》、陕西省住房和城乡建设厅《关于2023年度城乡历史文化保护工作情况的通报》（陕建城发〔2024〕6号）、西安市政府办公厅关于《陕西省住房和城乡建设厅关于2023年度城乡历史文化保护工作情况的通报》工作事项批办单等文件要求，开展《西安市青坪村历史文化名村保护规划》的编制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670,300.00</w:t>
      </w:r>
    </w:p>
    <w:p>
      <w:pPr>
        <w:pStyle w:val="null3"/>
      </w:pPr>
      <w:r>
        <w:rPr>
          <w:rFonts w:ascii="仿宋_GB2312" w:hAnsi="仿宋_GB2312" w:cs="仿宋_GB2312" w:eastAsia="仿宋_GB2312"/>
        </w:rPr>
        <w:t>采购包最高限价（元）: 670,300.00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青坪村历史文化名村保护规划项目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670,300.00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标的名称：青坪村历史文化名村保护规划项目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一、项目概况</w:t>
            </w:r>
          </w:p>
          <w:p>
            <w:pPr>
              <w:pStyle w:val="null3"/>
              <w:ind w:firstLine="480"/>
            </w:pPr>
            <w:r>
              <w:rPr>
                <w:rFonts w:ascii="仿宋_GB2312" w:hAnsi="仿宋_GB2312" w:cs="仿宋_GB2312" w:eastAsia="仿宋_GB2312"/>
                <w:sz w:val="24"/>
              </w:rPr>
              <w:t>西安市蓝田县青坪村于2022年12月获评陕西省第五批省级历史文化名村，至今尚未编制保护规划。为了落实《陕西省历史文化名城名镇名村保护条例》、陕西省住房和城乡建设厅《关于2023年度城乡历史文化保护工作情况的通报》（陕建城发〔2024〕6号）、西安市政府办公厅关于《陕西省住房和城乡建设厅关于2023年度城乡历史文化保护工作情况的通报》工作事项批办单等文件要求，开展《西安市青坪村历史文化名村保护规划》的编制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rPr>
              <w:t>二、服务内容</w:t>
            </w:r>
          </w:p>
          <w:p>
            <w:pPr>
              <w:pStyle w:val="null3"/>
              <w:ind w:firstLine="480"/>
            </w:pPr>
            <w:r>
              <w:rPr>
                <w:rFonts w:ascii="仿宋_GB2312" w:hAnsi="仿宋_GB2312" w:cs="仿宋_GB2312" w:eastAsia="仿宋_GB2312"/>
                <w:sz w:val="24"/>
              </w:rPr>
              <w:t>（一）规划范围</w:t>
            </w:r>
          </w:p>
          <w:p>
            <w:pPr>
              <w:pStyle w:val="null3"/>
              <w:ind w:firstLine="480"/>
            </w:pPr>
            <w:r>
              <w:rPr>
                <w:rFonts w:ascii="仿宋_GB2312" w:hAnsi="仿宋_GB2312" w:cs="仿宋_GB2312" w:eastAsia="仿宋_GB2312"/>
                <w:sz w:val="24"/>
              </w:rPr>
              <w:t>西安市</w:t>
            </w:r>
            <w:r>
              <w:rPr>
                <w:rFonts w:ascii="仿宋_GB2312" w:hAnsi="仿宋_GB2312" w:cs="仿宋_GB2312" w:eastAsia="仿宋_GB2312"/>
                <w:sz w:val="24"/>
              </w:rPr>
              <w:t>蓝田</w:t>
            </w:r>
            <w:r>
              <w:rPr>
                <w:rFonts w:ascii="仿宋_GB2312" w:hAnsi="仿宋_GB2312" w:cs="仿宋_GB2312" w:eastAsia="仿宋_GB2312"/>
                <w:sz w:val="24"/>
              </w:rPr>
              <w:t>县</w:t>
            </w:r>
            <w:r>
              <w:rPr>
                <w:rFonts w:ascii="仿宋_GB2312" w:hAnsi="仿宋_GB2312" w:cs="仿宋_GB2312" w:eastAsia="仿宋_GB2312"/>
                <w:sz w:val="24"/>
              </w:rPr>
              <w:t>青坪村村</w:t>
            </w:r>
            <w:r>
              <w:rPr>
                <w:rFonts w:ascii="仿宋_GB2312" w:hAnsi="仿宋_GB2312" w:cs="仿宋_GB2312" w:eastAsia="仿宋_GB2312"/>
                <w:sz w:val="24"/>
              </w:rPr>
              <w:t>域</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（二）规划对象</w:t>
            </w:r>
          </w:p>
          <w:p>
            <w:pPr>
              <w:pStyle w:val="null3"/>
              <w:ind w:firstLine="480"/>
            </w:pPr>
            <w:r>
              <w:rPr>
                <w:rFonts w:ascii="仿宋_GB2312" w:hAnsi="仿宋_GB2312" w:cs="仿宋_GB2312" w:eastAsia="仿宋_GB2312"/>
                <w:sz w:val="24"/>
              </w:rPr>
              <w:t>规划对象</w:t>
            </w:r>
            <w:r>
              <w:rPr>
                <w:rFonts w:ascii="仿宋_GB2312" w:hAnsi="仿宋_GB2312" w:cs="仿宋_GB2312" w:eastAsia="仿宋_GB2312"/>
                <w:sz w:val="24"/>
              </w:rPr>
              <w:t>为</w:t>
            </w:r>
            <w:r>
              <w:rPr>
                <w:rFonts w:ascii="仿宋_GB2312" w:hAnsi="仿宋_GB2312" w:cs="仿宋_GB2312" w:eastAsia="仿宋_GB2312"/>
                <w:sz w:val="24"/>
              </w:rPr>
              <w:t>陕西省第五批省级历史文化名村</w:t>
            </w:r>
            <w:r>
              <w:rPr>
                <w:rFonts w:ascii="仿宋_GB2312" w:hAnsi="仿宋_GB2312" w:cs="仿宋_GB2312" w:eastAsia="仿宋_GB2312"/>
                <w:sz w:val="24"/>
              </w:rPr>
              <w:t>西安市蓝田县青坪村</w:t>
            </w:r>
            <w:r>
              <w:rPr>
                <w:rFonts w:ascii="仿宋_GB2312" w:hAnsi="仿宋_GB2312" w:cs="仿宋_GB2312" w:eastAsia="仿宋_GB2312"/>
                <w:sz w:val="24"/>
              </w:rPr>
              <w:t>。对</w:t>
            </w:r>
            <w:r>
              <w:rPr>
                <w:rFonts w:ascii="仿宋_GB2312" w:hAnsi="仿宋_GB2312" w:cs="仿宋_GB2312" w:eastAsia="仿宋_GB2312"/>
                <w:sz w:val="24"/>
              </w:rPr>
              <w:t>青坪村</w:t>
            </w:r>
            <w:r>
              <w:rPr>
                <w:rFonts w:ascii="仿宋_GB2312" w:hAnsi="仿宋_GB2312" w:cs="仿宋_GB2312" w:eastAsia="仿宋_GB2312"/>
                <w:sz w:val="24"/>
              </w:rPr>
              <w:t>历史文化资源进行系统而详尽的调查，评估其价值，研究划定保护区划，明确保护措施，提出规划实施建议，提出提升人居环境的规划措施</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（三）规划期限</w:t>
            </w:r>
          </w:p>
          <w:p>
            <w:pPr>
              <w:pStyle w:val="null3"/>
              <w:ind w:firstLine="480"/>
            </w:pPr>
            <w:r>
              <w:rPr>
                <w:rFonts w:ascii="仿宋_GB2312" w:hAnsi="仿宋_GB2312" w:cs="仿宋_GB2312" w:eastAsia="仿宋_GB2312"/>
                <w:sz w:val="24"/>
              </w:rPr>
              <w:t>规划期限为202</w:t>
            </w:r>
            <w:r>
              <w:rPr>
                <w:rFonts w:ascii="仿宋_GB2312" w:hAnsi="仿宋_GB2312" w:cs="仿宋_GB2312" w:eastAsia="仿宋_GB2312"/>
                <w:sz w:val="24"/>
              </w:rPr>
              <w:t>5</w:t>
            </w:r>
            <w:r>
              <w:rPr>
                <w:rFonts w:ascii="仿宋_GB2312" w:hAnsi="仿宋_GB2312" w:cs="仿宋_GB2312" w:eastAsia="仿宋_GB2312"/>
                <w:sz w:val="24"/>
              </w:rPr>
              <w:t>-2035年。</w:t>
            </w:r>
          </w:p>
          <w:p>
            <w:pPr>
              <w:pStyle w:val="null3"/>
              <w:ind w:firstLine="480"/>
            </w:pPr>
            <w:r>
              <w:rPr>
                <w:rFonts w:ascii="仿宋_GB2312" w:hAnsi="仿宋_GB2312" w:cs="仿宋_GB2312" w:eastAsia="仿宋_GB2312"/>
                <w:sz w:val="24"/>
              </w:rPr>
              <w:t>（四）规划内容</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完成西安市青坪村调查评估专题研究。对西安市青坪村进行现状调查，并编制调查评估报告，明确青坪村的遗产信息、保存现状、主要价值、格局及风貌特征等，并进行发展状况评估。</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完成《青坪村历史文化名村保护规划》编制工作。明确青坪村现状特征、资源价值，建立青坪村整体保护框架，提出传统格局和历史风貌保护措施，制定保护规划分期实施方案等。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b/>
              </w:rPr>
              <w:t>三、技术要求</w:t>
            </w:r>
          </w:p>
          <w:p>
            <w:pPr>
              <w:pStyle w:val="null3"/>
              <w:ind w:firstLine="480"/>
            </w:pPr>
            <w:r>
              <w:rPr>
                <w:rFonts w:ascii="仿宋_GB2312" w:hAnsi="仿宋_GB2312" w:cs="仿宋_GB2312" w:eastAsia="仿宋_GB2312"/>
                <w:sz w:val="24"/>
              </w:rPr>
              <w:t>（一）成果质量要求</w:t>
            </w:r>
          </w:p>
          <w:p>
            <w:pPr>
              <w:pStyle w:val="null3"/>
              <w:ind w:firstLine="480"/>
            </w:pPr>
            <w:r>
              <w:rPr>
                <w:rFonts w:ascii="仿宋_GB2312" w:hAnsi="仿宋_GB2312" w:cs="仿宋_GB2312" w:eastAsia="仿宋_GB2312"/>
                <w:sz w:val="24"/>
              </w:rPr>
              <w:t>项目成果内容应符合《中华人民共和国城乡规划法》《中华人民共和国文物保护法》《中华人民共和国非物质文化遗产法》《陕西省历史文化名城名镇名村保护条例》《西安历史文化名城保护条例》等法律法规及《关于在城乡建设中加强历史文化保护传承的意见》等政策文件相关要求。</w:t>
            </w:r>
          </w:p>
          <w:p>
            <w:pPr>
              <w:pStyle w:val="null3"/>
              <w:ind w:firstLine="480"/>
            </w:pPr>
            <w:r>
              <w:rPr>
                <w:rFonts w:ascii="仿宋_GB2312" w:hAnsi="仿宋_GB2312" w:cs="仿宋_GB2312" w:eastAsia="仿宋_GB2312"/>
                <w:sz w:val="24"/>
              </w:rPr>
              <w:t>（二）成果交付要求</w:t>
            </w:r>
          </w:p>
          <w:p>
            <w:pPr>
              <w:pStyle w:val="null3"/>
              <w:ind w:firstLine="480"/>
            </w:pPr>
            <w:r>
              <w:rPr>
                <w:rFonts w:ascii="仿宋_GB2312" w:hAnsi="仿宋_GB2312" w:cs="仿宋_GB2312" w:eastAsia="仿宋_GB2312"/>
                <w:sz w:val="24"/>
              </w:rPr>
              <w:t>成果包括规划文本、规划图纸和附件。附件包括规划说明书、基础资料汇编，电子版1份（PDF）、纸质版1份。</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b/>
              </w:rPr>
              <w:t>四、服务要求</w:t>
            </w:r>
          </w:p>
          <w:p>
            <w:pPr>
              <w:pStyle w:val="null3"/>
              <w:ind w:firstLine="480"/>
            </w:pPr>
            <w:r>
              <w:rPr>
                <w:rFonts w:ascii="仿宋_GB2312" w:hAnsi="仿宋_GB2312" w:cs="仿宋_GB2312" w:eastAsia="仿宋_GB2312"/>
                <w:sz w:val="24"/>
              </w:rPr>
              <w:t>（一）服务商须精心组建项目团队，确定项目负责人，并对项目团队的政治素质和业务素质负责。</w:t>
            </w:r>
          </w:p>
          <w:p>
            <w:pPr>
              <w:pStyle w:val="null3"/>
              <w:ind w:firstLine="480"/>
            </w:pPr>
            <w:r>
              <w:rPr>
                <w:rFonts w:ascii="仿宋_GB2312" w:hAnsi="仿宋_GB2312" w:cs="仿宋_GB2312" w:eastAsia="仿宋_GB2312"/>
                <w:sz w:val="24"/>
              </w:rPr>
              <w:t>（二）项目组成员须有较强的组织和协调能力，具有较高的理论素养和分析解决问题的能力。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）项目团队成员应当熟悉</w:t>
            </w:r>
            <w:r>
              <w:rPr>
                <w:rFonts w:ascii="仿宋_GB2312" w:hAnsi="仿宋_GB2312" w:cs="仿宋_GB2312" w:eastAsia="仿宋_GB2312"/>
                <w:sz w:val="24"/>
              </w:rPr>
              <w:t>历史文化资源调查及保护相关</w:t>
            </w:r>
            <w:r>
              <w:rPr>
                <w:rFonts w:ascii="仿宋_GB2312" w:hAnsi="仿宋_GB2312" w:cs="仿宋_GB2312" w:eastAsia="仿宋_GB2312"/>
                <w:sz w:val="24"/>
              </w:rPr>
              <w:t>规范标准，项目实施应紧贴上位政策要求。</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b/>
              </w:rPr>
              <w:t>五、其他</w:t>
            </w:r>
          </w:p>
          <w:p>
            <w:pPr>
              <w:pStyle w:val="null3"/>
              <w:ind w:firstLine="480"/>
            </w:pPr>
            <w:r>
              <w:rPr>
                <w:rFonts w:ascii="仿宋_GB2312" w:hAnsi="仿宋_GB2312" w:cs="仿宋_GB2312" w:eastAsia="仿宋_GB2312"/>
                <w:sz w:val="24"/>
              </w:rPr>
              <w:t>（一）符合《中华人民共和国政府采购法》第二十二条、第二十三条、第二十四条规定；</w:t>
            </w:r>
          </w:p>
          <w:p>
            <w:pPr>
              <w:pStyle w:val="null3"/>
              <w:ind w:firstLine="480"/>
            </w:pPr>
            <w:r>
              <w:rPr>
                <w:rFonts w:ascii="仿宋_GB2312" w:hAnsi="仿宋_GB2312" w:cs="仿宋_GB2312" w:eastAsia="仿宋_GB2312"/>
                <w:sz w:val="24"/>
              </w:rPr>
              <w:t>（二）技术服务单位需配合完成采购人安排的与本项目有关的其他事项。</w:t>
            </w:r>
          </w:p>
          <w:p>
            <w:pPr>
              <w:pStyle w:val="null3"/>
              <w:ind w:firstLine="480"/>
            </w:pPr>
            <w:r>
              <w:rPr>
                <w:rFonts w:ascii="仿宋_GB2312" w:hAnsi="仿宋_GB2312" w:cs="仿宋_GB2312" w:eastAsia="仿宋_GB2312"/>
                <w:sz w:val="24"/>
              </w:rPr>
              <w:t>（三）进度要求</w:t>
            </w:r>
          </w:p>
          <w:p>
            <w:pPr>
              <w:pStyle w:val="null3"/>
              <w:ind w:firstLine="480"/>
              <w:jc w:val="both"/>
            </w:pPr>
            <w:r>
              <w:rPr>
                <w:rFonts w:ascii="仿宋_GB2312" w:hAnsi="仿宋_GB2312" w:cs="仿宋_GB2312" w:eastAsia="仿宋_GB2312"/>
                <w:sz w:val="24"/>
              </w:rPr>
              <w:t>1、2026年</w:t>
            </w:r>
            <w:r>
              <w:rPr>
                <w:rFonts w:ascii="仿宋_GB2312" w:hAnsi="仿宋_GB2312" w:cs="仿宋_GB2312" w:eastAsia="仿宋_GB2312"/>
                <w:sz w:val="24"/>
              </w:rPr>
              <w:t>4月前完成《青坪村历史文化名村保护规划》成果，通过专家评审。</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2026年</w:t>
            </w:r>
            <w:r>
              <w:rPr>
                <w:rFonts w:ascii="仿宋_GB2312" w:hAnsi="仿宋_GB2312" w:cs="仿宋_GB2312" w:eastAsia="仿宋_GB2312"/>
                <w:sz w:val="24"/>
              </w:rPr>
              <w:t>6月前完善规划成果，通过主管部门验收。</w:t>
            </w:r>
          </w:p>
          <w:p>
            <w:pPr>
              <w:pStyle w:val="null3"/>
              <w:ind w:firstLine="480"/>
            </w:pPr>
            <w:r>
              <w:rPr>
                <w:rFonts w:ascii="仿宋_GB2312" w:hAnsi="仿宋_GB2312" w:cs="仿宋_GB2312" w:eastAsia="仿宋_GB2312"/>
                <w:sz w:val="24"/>
              </w:rPr>
              <w:t>（四）质量验收标准或规范</w:t>
            </w:r>
          </w:p>
          <w:p>
            <w:pPr>
              <w:pStyle w:val="null3"/>
              <w:ind w:firstLine="480"/>
            </w:pPr>
            <w:r>
              <w:rPr>
                <w:rFonts w:ascii="仿宋_GB2312" w:hAnsi="仿宋_GB2312" w:cs="仿宋_GB2312" w:eastAsia="仿宋_GB2312"/>
                <w:sz w:val="24"/>
              </w:rPr>
              <w:t>成果质量须符合国家、陕西省、西安市相关法律法规及政策文件要求，并通过采购人组织的专家论证或评估会。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按采购人要求，根据项目实际情况配置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按采购人要求，根据项目实际情况配置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自合同签订之日起至2026年10月30日止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通过专家评审并经甲方验收合格。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项目通过专家评审后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根据甲乙双方最终合同约定执行。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1、请供应商按照陕西省财政厅关于政府采购供应商注册登记有关事项的通知中的要求，通过陕西省政府采购网（http://www.ccgp-shaanxi.gov.cn/）注册登记加入陕西省政府采购供应商库。 2、请成交供应商在领取成交通知书时，向招标代理机构递交纸质版响应文件（纸质文件与线上评审电子文件保持一致）正本壹份、副本贰份，电子版响应文件（U盘）贰份。 3、根据《西安市财政局关于促进政府采购公平竞争优化营商环境的通知》市财函[2021]431号文第16条 供应商登记免费领取采购文件的，如不参与项目投标，应在递交投标（或响应）文件截止时间前一日以书面形式告知采购代理机构（接收邮箱：sxdz20210508@168.com）。否则，采购代理机构可以向财政部门反应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响应供应商需提供有效合格的具有统一社会信用代码的营业执照，其他组织经营的须提供合法凭证，自然人提供身份证明文件。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提供供应商2025年1月1日以来任意三个月已缴纳的社会保障资金缴存单据或社保机构开具的社会保险参保缴费情况证明；依法不需要缴纳社会保障资金的供应商应提供加盖公章的相关证明文件。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提供供应商2025年1月1日以来任意三个月已缴纳的纳税证明或完税证明（至少包含增值税或企业所得税），依法免税的供应商应提供加盖公章的相关证明文件。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企业能力</w:t>
            </w:r>
          </w:p>
        </w:tc>
        <w:tc>
          <w:tcPr>
            <w:tcW w:type="dxa" w:w="3322"/>
          </w:tcPr>
          <w:p>
            <w:pPr>
              <w:pStyle w:val="null3"/>
            </w:pPr>
            <w:r>
              <w:rPr>
                <w:rFonts w:ascii="仿宋_GB2312" w:hAnsi="仿宋_GB2312" w:cs="仿宋_GB2312" w:eastAsia="仿宋_GB2312"/>
              </w:rPr>
              <w:t>供应商须具备行政主管部门颁发的有效的《城乡规划编制甲级》资质。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书面信用声明</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应符合磋商文件中签字、签章要求，且无遗漏</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标的清单 响应供应商基本情况表.docx 商务、技术偏离表.docx 响应函 服务方案.docx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标的清单 响应供应商基本情况表.docx 商务、技术偏离表.docx 响应函 服务方案.docx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（3）未超出采购预算或最高限价 （4）符合《磋商一览表》的填报要求</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技术（服务）条款</w:t>
            </w:r>
          </w:p>
        </w:tc>
        <w:tc>
          <w:tcPr>
            <w:tcW w:type="dxa" w:w="3322"/>
          </w:tcPr>
          <w:p>
            <w:pPr>
              <w:pStyle w:val="null3"/>
            </w:pPr>
            <w:r>
              <w:rPr>
                <w:rFonts w:ascii="仿宋_GB2312" w:hAnsi="仿宋_GB2312" w:cs="仿宋_GB2312" w:eastAsia="仿宋_GB2312"/>
              </w:rPr>
              <w:t>完全理解并响应采购文件要求的各项技术（服务），且未含有采购人不能接受的附加条件的。</w:t>
            </w:r>
          </w:p>
        </w:tc>
        <w:tc>
          <w:tcPr>
            <w:tcW w:type="dxa" w:w="1661"/>
          </w:tcPr>
          <w:p>
            <w:pPr>
              <w:pStyle w:val="null3"/>
            </w:pPr>
            <w:r>
              <w:rPr>
                <w:rFonts w:ascii="仿宋_GB2312" w:hAnsi="仿宋_GB2312" w:cs="仿宋_GB2312" w:eastAsia="仿宋_GB2312"/>
              </w:rPr>
              <w:t>商务、技术偏离表.docx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商务条款（如合同履行期限、付款方式、响应有效期等）</w:t>
            </w:r>
          </w:p>
        </w:tc>
        <w:tc>
          <w:tcPr>
            <w:tcW w:type="dxa" w:w="3322"/>
          </w:tcPr>
          <w:p>
            <w:pPr>
              <w:pStyle w:val="null3"/>
            </w:pPr>
            <w:r>
              <w:rPr>
                <w:rFonts w:ascii="仿宋_GB2312" w:hAnsi="仿宋_GB2312" w:cs="仿宋_GB2312" w:eastAsia="仿宋_GB2312"/>
              </w:rPr>
              <w:t>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商务、技术偏离表.docx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提出针对本项目的总体方案，内容包括①服务内容分析及目标②服务工作范围及工作方法③重难点分析及解决方案 二、评审标准 1、完整性：方案须全面，对评审内容中的各项要求有详细描述及说明； 2、可实施性：切合本项目实际情况，实施步骤清晰、合理； 3、针对性：方案能够紧扣项目实际情况，内容科学合理。 三、赋分标准（满分18分） ①服务内容分析及目标：每完全满足一项评审标准得2分，存在瑕疵得1分，满分6 分； ②服务工作范围及工作方法：每完全满足一项评审标准得2分，存在瑕疵得1分，满分6 分； ③重难点分析及解决方案：每完全满足一项评审标准得2分，存在瑕疵得1分，满分6分。 瑕疵是指存在不完全满足评分标准，但项目仍可实施。</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资源调查方案</w:t>
            </w:r>
          </w:p>
        </w:tc>
        <w:tc>
          <w:tcPr>
            <w:tcW w:type="dxa" w:w="2492"/>
          </w:tcPr>
          <w:p>
            <w:pPr>
              <w:pStyle w:val="null3"/>
            </w:pPr>
            <w:r>
              <w:rPr>
                <w:rFonts w:ascii="仿宋_GB2312" w:hAnsi="仿宋_GB2312" w:cs="仿宋_GB2312" w:eastAsia="仿宋_GB2312"/>
              </w:rPr>
              <w:t>对文化资源底数的调查深度、内容，根据供应商所描述方案的完整性、可实施性、针对性进行评审。 资源调查方案同时满足完整性、可实施性、针对性三项评审标准的，得8分； 资源调查方案的完整性、可实施性、针对性其中有一项评审标准有瑕疵，得6分； 资源调查方案的完整性、可实施性、针对性其中有两项评审标准有瑕疵，得4分； 资源调查方案的完整性、可实施性、针对性其中有三项评审标准均有瑕疵，得2分； 瑕疵是指存在不完全满足评分标准，但项目仍可实施。 其他或未提供得不得分。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评估分类方案</w:t>
            </w:r>
          </w:p>
        </w:tc>
        <w:tc>
          <w:tcPr>
            <w:tcW w:type="dxa" w:w="2492"/>
          </w:tcPr>
          <w:p>
            <w:pPr>
              <w:pStyle w:val="null3"/>
            </w:pPr>
            <w:r>
              <w:rPr>
                <w:rFonts w:ascii="仿宋_GB2312" w:hAnsi="仿宋_GB2312" w:cs="仿宋_GB2312" w:eastAsia="仿宋_GB2312"/>
              </w:rPr>
              <w:t>对所调查资源进行评估及分类，根据供应商所描述方案的完整性、可实施性、针对性进行评审。 评估分类方案同时满足完整性、可实施性、针对性三项评审标准的，得8分； 评估分类方案的完整性、可实施性、针对性其中有一项评审标准有瑕疵，得6分； 评估分类方案的完整性、可实施性、针对性其中有两项评审标准有瑕疵，得4分； 资源调查方案的完整性、可实施性、针对性其中有三项评审标准均有瑕疵，得2分； 瑕疵是指存在不完全满足评分标准，但项目仍可实施。 其他或未提供得不得分。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保密保障方案</w:t>
            </w:r>
          </w:p>
        </w:tc>
        <w:tc>
          <w:tcPr>
            <w:tcW w:type="dxa" w:w="2492"/>
          </w:tcPr>
          <w:p>
            <w:pPr>
              <w:pStyle w:val="null3"/>
            </w:pPr>
            <w:r>
              <w:rPr>
                <w:rFonts w:ascii="仿宋_GB2312" w:hAnsi="仿宋_GB2312" w:cs="仿宋_GB2312" w:eastAsia="仿宋_GB2312"/>
              </w:rPr>
              <w:t>提出针对本项目的保密保障方案，根据供应商所描述方案的完整性、可实施性、针对性进行评审。 保密保障方案同时满足完整性、可实施性、针对性三项评审标准的，得6分； 保密保障方案的完整性、可实施性、针对性其中有一项评审标准有瑕疵，得5分； 保密保障方案的完整性、可实施性、针对性其中有两项评审标准有瑕疵，得3分； 保密保障方案的完整性、可实施性、针对性其中有三项评审标准均有瑕疵，得1分； 瑕疵是指存在不完全满足评分标准，但项目仍可实施。 其他或未提供得不得分。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服务质量保障方案</w:t>
            </w:r>
          </w:p>
        </w:tc>
        <w:tc>
          <w:tcPr>
            <w:tcW w:type="dxa" w:w="2492"/>
          </w:tcPr>
          <w:p>
            <w:pPr>
              <w:pStyle w:val="null3"/>
            </w:pPr>
            <w:r>
              <w:rPr>
                <w:rFonts w:ascii="仿宋_GB2312" w:hAnsi="仿宋_GB2312" w:cs="仿宋_GB2312" w:eastAsia="仿宋_GB2312"/>
              </w:rPr>
              <w:t>提出针对本项目的服务质量保障方案，根据供应商所描述方案的完整性、可实施性、针对性进行评审。 服务质量保障方案同时满足完整性、可实施性、针对性三项评审标准的，得8分； 服务质量保障方案的完整性、可实施性、针对性其中有一项评审标准有瑕疵，得6分； 服务质量保障方案的完整性、可实施性、针对性其中有两项评审标准有瑕疵，得4分； 服务质量保障方案的完整性、可实施性、针对性其中有三项评审标准均有瑕疵，得2分； 瑕疵是指存在不完全满足评分标准，但项目仍可实施。 其他或未提供得不得分。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项目进度计划及保障方案</w:t>
            </w:r>
          </w:p>
        </w:tc>
        <w:tc>
          <w:tcPr>
            <w:tcW w:type="dxa" w:w="2492"/>
          </w:tcPr>
          <w:p>
            <w:pPr>
              <w:pStyle w:val="null3"/>
            </w:pPr>
            <w:r>
              <w:rPr>
                <w:rFonts w:ascii="仿宋_GB2312" w:hAnsi="仿宋_GB2312" w:cs="仿宋_GB2312" w:eastAsia="仿宋_GB2312"/>
              </w:rPr>
              <w:t>提出针对本项目的进度计划安排及保障方案，根据供应商所描述方案的完整性、可实施性、针对性进行评审。 项目进度计划及保障同时满足完整性、可实施性、针对性三项评审标准的，得8分； 项目进度计划及保障的完整性、可实施性、针对性其中有一项评审标准有瑕疵，得6分； 项目进度计划及保障的完整性、可实施性、针对性其中有两项评审标准有瑕疵，得4分； 项目进度计划及保障的完整性、可实施性、针对性其中有三项评审标准均有瑕疵，得2分； 瑕疵是指存在不完全满足评分标准，但项目仍可实施。 其他或未提供得不得分。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人员管理方案</w:t>
            </w:r>
          </w:p>
        </w:tc>
        <w:tc>
          <w:tcPr>
            <w:tcW w:type="dxa" w:w="2492"/>
          </w:tcPr>
          <w:p>
            <w:pPr>
              <w:pStyle w:val="null3"/>
            </w:pPr>
            <w:r>
              <w:rPr>
                <w:rFonts w:ascii="仿宋_GB2312" w:hAnsi="仿宋_GB2312" w:cs="仿宋_GB2312" w:eastAsia="仿宋_GB2312"/>
              </w:rPr>
              <w:t>一、评审内容 提出针对本项目的人员管理方案，方案包含： ①工作标准：具有岗位工作标准、服务质量标准 ②内控制度：问责机制、监督机制、自查制度 ③人员管理制度：具有员工日常管理办法、请销假制度、奖惩措施、激励机制。 二、评审标准 1、完整性：方案须全面，对评审内容中的各项要求有详细描述及说明； 2、可实施性：切合本项目实际情况，实施步骤清晰、合理； 3、针对性：方案能够紧扣项目实际情况，内容科学合理。 三、赋分标准（满分9分） ①工作标准：每完全满足一个评审标准得1分，存在瑕疵得0.5分，满分3分； ②内控制度：每完全满足一个评审标准得1分，存在瑕疵得0.5分，满分3分； ③人员管理制度：每完全满足一个评审标准得1分，存在瑕疵得0.5分，满分3分。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拟派项目负责人具备相关专业正高级工程师职称的得4分，具备相关专业高级工程师职称的得2分，未提供不得分。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团队内每有一位相关专业高级工程师职称的技术人员得2分，每有一位相关专业工程师职称的技术人员得1分，此项最高的6分，未提供不得分。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提出针对本项目的团队人员组织方案，方案包含：①组织机构运行配备方案②专业服务团队人员的职能分工方案，根据供应商所描述方案的完整性、可实施性、针对性进行评审。 团队人员组织方案同时满足完整性、可实施性、针对性三项评审标准的，得5分； 团队人员组织方案的完整性、可实施性、针对性其中有一项评审标准有瑕疵，得4分； 团队人员组织方案的完整性、可实施性、针对性其中有两项评审标准有瑕疵，得3分； 团队人员组织方案的完整性、可实施性、针对性其中有三项评审标准均有瑕疵，得1分； 瑕疵是指存在不完全满足评分标准，但项目仍可实施。 其他或未提供得不得分。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具有2022年1月1日以后类似（历史文化保护）项目业绩，每提供一个业绩得2分，满分10分。 注：以合同或中标通知书复印件加盖公章为依据。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详见附件：响应供应商基本情况表.docx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详见附件：商务、技术偏离表.docx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