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EA030">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注：本合同作为合同的基本格式，采购人有权在签订合同时对合同的相关条款及内容作进一步的细化和修改，但不得改变磋商文件及磋商响应文件、成交通知书规定的实质性内容）</w:t>
      </w:r>
    </w:p>
    <w:p w14:paraId="571CD870">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采购人（以下称“甲方”）：</w:t>
      </w:r>
      <w:r>
        <w:rPr>
          <w:rFonts w:hint="eastAsia" w:ascii="仿宋" w:hAnsi="仿宋" w:eastAsia="仿宋" w:cs="仿宋"/>
          <w:kern w:val="1"/>
          <w:highlight w:val="none"/>
          <w:u w:val="single"/>
        </w:rPr>
        <w:t xml:space="preserve"> 西安市教育局 </w:t>
      </w:r>
      <w:r>
        <w:rPr>
          <w:rFonts w:hint="eastAsia" w:ascii="仿宋" w:hAnsi="仿宋" w:eastAsia="仿宋" w:cs="仿宋"/>
          <w:kern w:val="1"/>
          <w:highlight w:val="none"/>
        </w:rPr>
        <w:t xml:space="preserve">                                         </w:t>
      </w:r>
    </w:p>
    <w:p w14:paraId="36637FFA">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地址：</w:t>
      </w:r>
      <w:r>
        <w:rPr>
          <w:rFonts w:hint="eastAsia" w:ascii="仿宋" w:hAnsi="仿宋" w:eastAsia="仿宋" w:cs="仿宋"/>
          <w:kern w:val="1"/>
          <w:highlight w:val="none"/>
          <w:u w:val="single"/>
        </w:rPr>
        <w:t xml:space="preserve"> 西安市凤城八路109号市政府6号楼 </w:t>
      </w:r>
      <w:r>
        <w:rPr>
          <w:rFonts w:hint="eastAsia" w:ascii="仿宋" w:hAnsi="仿宋" w:eastAsia="仿宋" w:cs="仿宋"/>
          <w:kern w:val="1"/>
          <w:highlight w:val="none"/>
        </w:rPr>
        <w:t xml:space="preserve">                                                            </w:t>
      </w:r>
    </w:p>
    <w:p w14:paraId="10FD6628">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联系方式：</w:t>
      </w:r>
      <w:r>
        <w:rPr>
          <w:rFonts w:hint="eastAsia" w:ascii="仿宋" w:hAnsi="仿宋" w:eastAsia="仿宋" w:cs="仿宋"/>
          <w:kern w:val="1"/>
          <w:highlight w:val="none"/>
          <w:u w:val="single"/>
        </w:rPr>
        <w:t xml:space="preserve">                              </w:t>
      </w:r>
      <w:r>
        <w:rPr>
          <w:rFonts w:hint="eastAsia" w:ascii="仿宋" w:hAnsi="仿宋" w:eastAsia="仿宋" w:cs="仿宋"/>
          <w:kern w:val="1"/>
          <w:highlight w:val="none"/>
        </w:rPr>
        <w:t xml:space="preserve">                                                     </w:t>
      </w:r>
    </w:p>
    <w:p w14:paraId="63BDF236">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供应商（以下称“乙方”）：</w:t>
      </w:r>
      <w:r>
        <w:rPr>
          <w:rFonts w:hint="eastAsia" w:ascii="仿宋" w:hAnsi="仿宋" w:eastAsia="仿宋" w:cs="仿宋"/>
          <w:kern w:val="1"/>
          <w:highlight w:val="none"/>
          <w:u w:val="single"/>
        </w:rPr>
        <w:t xml:space="preserve">                     </w:t>
      </w:r>
      <w:r>
        <w:rPr>
          <w:rFonts w:hint="eastAsia" w:ascii="仿宋" w:hAnsi="仿宋" w:eastAsia="仿宋" w:cs="仿宋"/>
          <w:kern w:val="1"/>
          <w:highlight w:val="none"/>
        </w:rPr>
        <w:t xml:space="preserve">                                         </w:t>
      </w:r>
    </w:p>
    <w:p w14:paraId="752A9E1A">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地址：</w:t>
      </w:r>
      <w:r>
        <w:rPr>
          <w:rFonts w:hint="eastAsia" w:ascii="仿宋" w:hAnsi="仿宋" w:eastAsia="仿宋" w:cs="仿宋"/>
          <w:kern w:val="1"/>
          <w:highlight w:val="none"/>
          <w:u w:val="single"/>
        </w:rPr>
        <w:t xml:space="preserve">                          </w:t>
      </w:r>
      <w:r>
        <w:rPr>
          <w:rFonts w:hint="eastAsia" w:ascii="仿宋" w:hAnsi="仿宋" w:eastAsia="仿宋" w:cs="仿宋"/>
          <w:kern w:val="1"/>
          <w:highlight w:val="none"/>
        </w:rPr>
        <w:t xml:space="preserve">                                                          </w:t>
      </w:r>
    </w:p>
    <w:p w14:paraId="4B944E85">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联系方式：</w:t>
      </w:r>
      <w:r>
        <w:rPr>
          <w:rFonts w:hint="eastAsia" w:ascii="仿宋" w:hAnsi="仿宋" w:eastAsia="仿宋" w:cs="仿宋"/>
          <w:kern w:val="1"/>
          <w:highlight w:val="none"/>
          <w:u w:val="single"/>
        </w:rPr>
        <w:t xml:space="preserve">                      </w:t>
      </w:r>
      <w:r>
        <w:rPr>
          <w:rFonts w:hint="eastAsia" w:ascii="仿宋" w:hAnsi="仿宋" w:eastAsia="仿宋" w:cs="仿宋"/>
          <w:kern w:val="1"/>
          <w:highlight w:val="none"/>
        </w:rPr>
        <w:t xml:space="preserve">                                                  </w:t>
      </w:r>
    </w:p>
    <w:p w14:paraId="4D468C82">
      <w:pPr>
        <w:pBdr>
          <w:top w:val="none" w:color="000000" w:sz="0" w:space="3"/>
          <w:left w:val="none" w:color="000000" w:sz="0" w:space="3"/>
          <w:bottom w:val="none" w:color="000000" w:sz="0" w:space="3"/>
          <w:right w:val="none" w:color="000000" w:sz="0" w:space="3"/>
          <w:between w:val="none" w:color="000000" w:sz="0" w:space="0"/>
        </w:pBdr>
        <w:ind w:firstLine="468" w:firstLineChars="195"/>
        <w:rPr>
          <w:rFonts w:ascii="仿宋" w:hAnsi="仿宋" w:eastAsia="仿宋" w:cs="仿宋"/>
          <w:kern w:val="1"/>
          <w:highlight w:val="none"/>
        </w:rPr>
      </w:pPr>
      <w:r>
        <w:rPr>
          <w:rFonts w:hint="eastAsia" w:ascii="仿宋" w:hAnsi="仿宋" w:eastAsia="仿宋" w:cs="仿宋"/>
          <w:kern w:val="1"/>
          <w:highlight w:val="none"/>
        </w:rPr>
        <w:t>根据《中华人民共和国政府采购法》及实施条例、《中华人民共和国民法典》和甲方采购项目</w:t>
      </w:r>
      <w:r>
        <w:rPr>
          <w:rFonts w:hint="eastAsia" w:ascii="仿宋" w:hAnsi="仿宋" w:eastAsia="仿宋" w:cs="仿宋"/>
          <w:kern w:val="1"/>
          <w:highlight w:val="none"/>
          <w:u w:val="single"/>
        </w:rPr>
        <w:t>西安市中小学心理健康教育区县行项目（采购项目编号：0701-2541SX060020）</w:t>
      </w:r>
      <w:r>
        <w:rPr>
          <w:rFonts w:hint="eastAsia" w:ascii="仿宋" w:hAnsi="仿宋" w:eastAsia="仿宋" w:cs="仿宋"/>
          <w:kern w:val="1"/>
          <w:highlight w:val="none"/>
        </w:rPr>
        <w:t>的竞争性磋商文件、乙方递交的响应文件等有关规定，为确保甲方采购项目的顺利实施，甲、乙双方在平等自愿原则下签订本合同，并共同遵守如下条款：</w:t>
      </w:r>
    </w:p>
    <w:p w14:paraId="52DE2225">
      <w:pPr>
        <w:widowControl/>
        <w:numPr>
          <w:ilvl w:val="0"/>
          <w:numId w:val="1"/>
        </w:numPr>
        <w:tabs>
          <w:tab w:val="left" w:pos="1379"/>
        </w:tabs>
        <w:kinsoku w:val="0"/>
        <w:autoSpaceDE w:val="0"/>
        <w:autoSpaceDN w:val="0"/>
        <w:adjustRightInd w:val="0"/>
        <w:snapToGrid w:val="0"/>
        <w:ind w:firstLine="482" w:firstLineChars="200"/>
        <w:jc w:val="left"/>
        <w:textAlignment w:val="baseline"/>
        <w:outlineLvl w:val="1"/>
        <w:rPr>
          <w:rFonts w:ascii="仿宋" w:hAnsi="仿宋" w:eastAsia="仿宋" w:cs="仿宋"/>
          <w:b/>
          <w:snapToGrid w:val="0"/>
          <w:kern w:val="0"/>
          <w:highlight w:val="none"/>
        </w:rPr>
      </w:pPr>
      <w:bookmarkStart w:id="0" w:name="_Toc11456"/>
      <w:bookmarkStart w:id="1" w:name="_Toc8233"/>
      <w:bookmarkStart w:id="2" w:name="_Toc5167"/>
      <w:r>
        <w:rPr>
          <w:rFonts w:hint="eastAsia" w:ascii="仿宋" w:hAnsi="仿宋" w:eastAsia="仿宋" w:cs="仿宋"/>
          <w:b/>
          <w:snapToGrid w:val="0"/>
          <w:kern w:val="0"/>
          <w:highlight w:val="none"/>
        </w:rPr>
        <w:t>合同采购内容</w:t>
      </w:r>
      <w:bookmarkEnd w:id="0"/>
      <w:bookmarkEnd w:id="1"/>
      <w:bookmarkEnd w:id="2"/>
    </w:p>
    <w:tbl>
      <w:tblPr>
        <w:tblStyle w:val="6"/>
        <w:tblW w:w="9888" w:type="dxa"/>
        <w:tblInd w:w="-154" w:type="dxa"/>
        <w:tblLayout w:type="fixed"/>
        <w:tblCellMar>
          <w:top w:w="0" w:type="dxa"/>
          <w:left w:w="0" w:type="dxa"/>
          <w:bottom w:w="0" w:type="dxa"/>
          <w:right w:w="0" w:type="dxa"/>
        </w:tblCellMar>
      </w:tblPr>
      <w:tblGrid>
        <w:gridCol w:w="887"/>
        <w:gridCol w:w="1648"/>
        <w:gridCol w:w="1592"/>
        <w:gridCol w:w="771"/>
        <w:gridCol w:w="885"/>
        <w:gridCol w:w="1604"/>
        <w:gridCol w:w="1258"/>
        <w:gridCol w:w="1243"/>
      </w:tblGrid>
      <w:tr w14:paraId="79FB9741">
        <w:tblPrEx>
          <w:tblCellMar>
            <w:top w:w="0" w:type="dxa"/>
            <w:left w:w="0" w:type="dxa"/>
            <w:bottom w:w="0" w:type="dxa"/>
            <w:right w:w="0" w:type="dxa"/>
          </w:tblCellMar>
        </w:tblPrEx>
        <w:trPr>
          <w:trHeight w:val="728" w:hRule="atLeast"/>
          <w:tblHeader/>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6FF6CDD3">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品目</w:t>
            </w:r>
          </w:p>
          <w:p w14:paraId="0B48FCF8">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编码</w:t>
            </w:r>
          </w:p>
        </w:tc>
        <w:tc>
          <w:tcPr>
            <w:tcW w:w="164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DC31B97">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品目</w:t>
            </w:r>
          </w:p>
          <w:p w14:paraId="79B10D0D">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名称</w:t>
            </w:r>
          </w:p>
        </w:tc>
        <w:tc>
          <w:tcPr>
            <w:tcW w:w="1592"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D184764">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采购</w:t>
            </w:r>
          </w:p>
          <w:p w14:paraId="70B5350E">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标的</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24D6B3B">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采购数量</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14161B0">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计量</w:t>
            </w:r>
          </w:p>
          <w:p w14:paraId="28DE1DDA">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单位</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1687178">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服务范围</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11AC5B1B">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单价</w:t>
            </w:r>
          </w:p>
          <w:p w14:paraId="2B17090B">
            <w:pPr>
              <w:widowControl/>
              <w:jc w:val="center"/>
              <w:textAlignment w:val="center"/>
              <w:rPr>
                <w:rFonts w:ascii="仿宋" w:hAnsi="仿宋" w:eastAsia="仿宋" w:cs="仿宋"/>
                <w:b/>
                <w:bCs/>
                <w:snapToGrid w:val="0"/>
                <w:kern w:val="0"/>
                <w:highlight w:val="none"/>
              </w:rPr>
            </w:pPr>
            <w:r>
              <w:rPr>
                <w:rFonts w:hint="eastAsia" w:ascii="仿宋" w:hAnsi="仿宋" w:eastAsia="仿宋" w:cs="仿宋"/>
                <w:b/>
                <w:bCs/>
                <w:snapToGrid w:val="0"/>
                <w:kern w:val="0"/>
                <w:highlight w:val="none"/>
                <w:lang w:bidi="ar"/>
              </w:rPr>
              <w:t>(元)</w:t>
            </w: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633FBF2">
            <w:pPr>
              <w:widowControl/>
              <w:jc w:val="center"/>
              <w:textAlignment w:val="center"/>
              <w:rPr>
                <w:rFonts w:ascii="仿宋" w:hAnsi="仿宋" w:eastAsia="仿宋" w:cs="仿宋"/>
                <w:b/>
                <w:bCs/>
                <w:snapToGrid w:val="0"/>
                <w:kern w:val="0"/>
                <w:highlight w:val="none"/>
                <w:lang w:bidi="ar"/>
              </w:rPr>
            </w:pPr>
            <w:r>
              <w:rPr>
                <w:rFonts w:hint="eastAsia" w:ascii="仿宋" w:hAnsi="仿宋" w:eastAsia="仿宋" w:cs="仿宋"/>
                <w:b/>
                <w:bCs/>
                <w:snapToGrid w:val="0"/>
                <w:kern w:val="0"/>
                <w:highlight w:val="none"/>
                <w:lang w:bidi="ar"/>
              </w:rPr>
              <w:t>总金额（元）</w:t>
            </w:r>
          </w:p>
        </w:tc>
      </w:tr>
      <w:tr w14:paraId="67C3FA0B">
        <w:tblPrEx>
          <w:tblCellMar>
            <w:top w:w="0" w:type="dxa"/>
            <w:left w:w="0" w:type="dxa"/>
            <w:bottom w:w="0" w:type="dxa"/>
            <w:right w:w="0" w:type="dxa"/>
          </w:tblCellMar>
        </w:tblPrEx>
        <w:trPr>
          <w:trHeight w:val="847" w:hRule="atLeast"/>
        </w:trPr>
        <w:tc>
          <w:tcPr>
            <w:tcW w:w="887"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4C62CB7">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C02060000</w:t>
            </w:r>
          </w:p>
        </w:tc>
        <w:tc>
          <w:tcPr>
            <w:tcW w:w="164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58C0D9A1">
            <w:pPr>
              <w:widowControl/>
              <w:jc w:val="center"/>
              <w:textAlignment w:val="center"/>
              <w:rPr>
                <w:rFonts w:hint="eastAsia" w:ascii="仿宋" w:hAnsi="仿宋" w:eastAsia="仿宋" w:cs="仿宋"/>
                <w:snapToGrid w:val="0"/>
                <w:kern w:val="0"/>
                <w:highlight w:val="none"/>
              </w:rPr>
            </w:pPr>
            <w:r>
              <w:rPr>
                <w:rFonts w:hint="eastAsia" w:ascii="仿宋" w:hAnsi="仿宋" w:eastAsia="仿宋" w:cs="仿宋"/>
                <w:snapToGrid w:val="0"/>
                <w:kern w:val="0"/>
                <w:highlight w:val="none"/>
              </w:rPr>
              <w:t>教学成果推广</w:t>
            </w:r>
          </w:p>
          <w:p w14:paraId="7C52996F">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应用服务服务</w:t>
            </w:r>
          </w:p>
        </w:tc>
        <w:tc>
          <w:tcPr>
            <w:tcW w:w="1592"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9268329">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西安市中小学心理健康教育区县行项目</w:t>
            </w:r>
          </w:p>
        </w:tc>
        <w:tc>
          <w:tcPr>
            <w:tcW w:w="771"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3730ECA1">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1</w:t>
            </w:r>
          </w:p>
        </w:tc>
        <w:tc>
          <w:tcPr>
            <w:tcW w:w="885"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7134D7CB">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项</w:t>
            </w:r>
          </w:p>
        </w:tc>
        <w:tc>
          <w:tcPr>
            <w:tcW w:w="1604"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4340048F">
            <w:pPr>
              <w:widowControl/>
              <w:jc w:val="center"/>
              <w:textAlignment w:val="center"/>
              <w:rPr>
                <w:rFonts w:ascii="仿宋" w:hAnsi="仿宋" w:eastAsia="仿宋" w:cs="仿宋"/>
                <w:snapToGrid w:val="0"/>
                <w:kern w:val="0"/>
                <w:highlight w:val="none"/>
              </w:rPr>
            </w:pPr>
            <w:r>
              <w:rPr>
                <w:rFonts w:hint="eastAsia" w:ascii="仿宋" w:hAnsi="仿宋" w:eastAsia="仿宋" w:cs="仿宋"/>
                <w:snapToGrid w:val="0"/>
                <w:kern w:val="0"/>
                <w:highlight w:val="none"/>
              </w:rPr>
              <w:t>详见招标文件</w:t>
            </w:r>
          </w:p>
        </w:tc>
        <w:tc>
          <w:tcPr>
            <w:tcW w:w="1258"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05F3CF53">
            <w:pPr>
              <w:widowControl/>
              <w:jc w:val="right"/>
              <w:textAlignment w:val="center"/>
              <w:rPr>
                <w:rFonts w:ascii="仿宋" w:hAnsi="仿宋" w:eastAsia="仿宋" w:cs="仿宋"/>
                <w:snapToGrid w:val="0"/>
                <w:kern w:val="0"/>
                <w:highlight w:val="none"/>
              </w:rPr>
            </w:pPr>
          </w:p>
        </w:tc>
        <w:tc>
          <w:tcPr>
            <w:tcW w:w="1243" w:type="dxa"/>
            <w:tcBorders>
              <w:top w:val="single" w:color="333333" w:sz="4" w:space="0"/>
              <w:left w:val="single" w:color="333333" w:sz="4" w:space="0"/>
              <w:bottom w:val="single" w:color="333333" w:sz="4" w:space="0"/>
              <w:right w:val="single" w:color="333333" w:sz="4" w:space="0"/>
            </w:tcBorders>
            <w:shd w:val="clear" w:color="auto" w:fill="auto"/>
            <w:tcMar>
              <w:top w:w="50" w:type="dxa"/>
              <w:left w:w="80" w:type="dxa"/>
              <w:bottom w:w="50" w:type="dxa"/>
              <w:right w:w="80" w:type="dxa"/>
            </w:tcMar>
            <w:vAlign w:val="center"/>
          </w:tcPr>
          <w:p w14:paraId="20FCC2B0">
            <w:pPr>
              <w:widowControl/>
              <w:jc w:val="right"/>
              <w:textAlignment w:val="center"/>
              <w:rPr>
                <w:rFonts w:ascii="仿宋" w:hAnsi="仿宋" w:eastAsia="仿宋" w:cs="仿宋"/>
                <w:snapToGrid w:val="0"/>
                <w:kern w:val="0"/>
                <w:highlight w:val="none"/>
                <w:shd w:val="clear" w:color="auto" w:fill="FFFFFF"/>
              </w:rPr>
            </w:pPr>
          </w:p>
        </w:tc>
      </w:tr>
    </w:tbl>
    <w:p w14:paraId="5667308C">
      <w:pPr>
        <w:widowControl/>
        <w:autoSpaceDE w:val="0"/>
        <w:autoSpaceDN w:val="0"/>
        <w:ind w:firstLine="480" w:firstLineChars="200"/>
        <w:jc w:val="left"/>
        <w:textAlignment w:val="baseline"/>
        <w:rPr>
          <w:rFonts w:hint="eastAsia" w:ascii="仿宋" w:hAnsi="仿宋" w:eastAsia="仿宋" w:cs="仿宋"/>
          <w:snapToGrid w:val="0"/>
          <w:kern w:val="0"/>
          <w:highlight w:val="none"/>
          <w:lang w:bidi="zh-CN"/>
        </w:rPr>
      </w:pPr>
      <w:bookmarkStart w:id="97" w:name="_GoBack"/>
      <w:bookmarkEnd w:id="97"/>
    </w:p>
    <w:p w14:paraId="75ABE962">
      <w:pPr>
        <w:widowControl/>
        <w:autoSpaceDE w:val="0"/>
        <w:autoSpaceDN w:val="0"/>
        <w:ind w:firstLine="480" w:firstLineChars="200"/>
        <w:jc w:val="left"/>
        <w:textAlignment w:val="baseline"/>
        <w:rPr>
          <w:rFonts w:ascii="仿宋" w:hAnsi="仿宋" w:eastAsia="仿宋" w:cs="仿宋"/>
          <w:snapToGrid w:val="0"/>
          <w:kern w:val="0"/>
          <w:highlight w:val="none"/>
          <w:lang w:bidi="zh-CN"/>
        </w:rPr>
      </w:pPr>
      <w:r>
        <w:rPr>
          <w:rFonts w:hint="eastAsia" w:ascii="仿宋" w:hAnsi="仿宋" w:eastAsia="仿宋" w:cs="仿宋"/>
          <w:snapToGrid w:val="0"/>
          <w:kern w:val="0"/>
          <w:highlight w:val="none"/>
          <w:lang w:bidi="zh-CN"/>
        </w:rPr>
        <w:t>合计金额人民币（大写）：</w:t>
      </w:r>
      <w:r>
        <w:rPr>
          <w:rFonts w:hint="eastAsia" w:ascii="仿宋" w:hAnsi="仿宋" w:eastAsia="仿宋" w:cs="仿宋"/>
          <w:snapToGrid w:val="0"/>
          <w:kern w:val="0"/>
          <w:highlight w:val="none"/>
          <w:u w:val="single"/>
          <w:lang w:bidi="zh-CN"/>
        </w:rPr>
        <w:t xml:space="preserve">               </w:t>
      </w:r>
      <w:r>
        <w:rPr>
          <w:rFonts w:hint="eastAsia" w:ascii="仿宋" w:hAnsi="仿宋" w:eastAsia="仿宋" w:cs="仿宋"/>
          <w:snapToGrid w:val="0"/>
          <w:kern w:val="0"/>
          <w:highlight w:val="none"/>
          <w:lang w:bidi="zh-CN"/>
        </w:rPr>
        <w:t xml:space="preserve"> </w:t>
      </w:r>
    </w:p>
    <w:p w14:paraId="19E39FDC">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3" w:name="_Toc30510"/>
      <w:bookmarkStart w:id="4" w:name="_Toc1852"/>
      <w:bookmarkStart w:id="5" w:name="_Toc22213"/>
      <w:r>
        <w:rPr>
          <w:rFonts w:hint="eastAsia" w:ascii="仿宋" w:hAnsi="仿宋" w:eastAsia="仿宋" w:cs="仿宋"/>
          <w:b/>
          <w:snapToGrid w:val="0"/>
          <w:kern w:val="0"/>
          <w:highlight w:val="none"/>
        </w:rPr>
        <w:t>第二条 合同价款</w:t>
      </w:r>
      <w:bookmarkEnd w:id="3"/>
      <w:bookmarkEnd w:id="4"/>
      <w:bookmarkEnd w:id="5"/>
    </w:p>
    <w:p w14:paraId="0849273D">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1.合同总价款为人民币</w:t>
      </w:r>
      <w:r>
        <w:rPr>
          <w:rFonts w:hint="eastAsia" w:ascii="仿宋" w:hAnsi="仿宋" w:eastAsia="仿宋" w:cs="仿宋"/>
          <w:kern w:val="1"/>
          <w:highlight w:val="none"/>
          <w:u w:val="single"/>
        </w:rPr>
        <w:t xml:space="preserve">（大写）：               ，¥              </w:t>
      </w:r>
    </w:p>
    <w:p w14:paraId="26F1D3DA">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u w:val="single"/>
        </w:rPr>
      </w:pPr>
      <w:r>
        <w:rPr>
          <w:rFonts w:hint="eastAsia" w:ascii="仿宋" w:hAnsi="仿宋" w:eastAsia="仿宋" w:cs="仿宋"/>
          <w:kern w:val="1"/>
          <w:highlight w:val="none"/>
        </w:rPr>
        <w:t>2.本项目合同总价款由以下组成：</w:t>
      </w:r>
      <w:r>
        <w:rPr>
          <w:rFonts w:hint="eastAsia" w:ascii="仿宋" w:hAnsi="仿宋" w:eastAsia="仿宋" w:cs="仿宋"/>
          <w:kern w:val="1"/>
          <w:highlight w:val="none"/>
          <w:u w:val="single"/>
        </w:rPr>
        <w:t xml:space="preserve">                    </w:t>
      </w:r>
    </w:p>
    <w:p w14:paraId="4C430E06">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3.甲方无须另向乙方支付本合同规定之外的其他任何费用</w:t>
      </w:r>
    </w:p>
    <w:p w14:paraId="30BAE325">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4.履约保证金：不涉及</w:t>
      </w:r>
    </w:p>
    <w:p w14:paraId="180246BB">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6" w:name="_Toc7270"/>
      <w:bookmarkStart w:id="7" w:name="_Toc4425"/>
      <w:bookmarkStart w:id="8" w:name="_Toc24914"/>
      <w:r>
        <w:rPr>
          <w:rFonts w:hint="eastAsia" w:ascii="仿宋" w:hAnsi="仿宋" w:eastAsia="仿宋" w:cs="仿宋"/>
          <w:b/>
          <w:snapToGrid w:val="0"/>
          <w:kern w:val="0"/>
          <w:highlight w:val="none"/>
        </w:rPr>
        <w:t>第三条  付款方式、时间及条件</w:t>
      </w:r>
      <w:bookmarkEnd w:id="6"/>
      <w:bookmarkEnd w:id="7"/>
      <w:bookmarkEnd w:id="8"/>
    </w:p>
    <w:p w14:paraId="484817D5">
      <w:pPr>
        <w:rPr>
          <w:rFonts w:ascii="仿宋" w:hAnsi="仿宋" w:eastAsia="仿宋" w:cs="仿宋"/>
          <w:highlight w:val="none"/>
        </w:rPr>
      </w:pPr>
      <w:bookmarkStart w:id="9" w:name="_Toc20131"/>
      <w:bookmarkStart w:id="10" w:name="_Toc32672"/>
      <w:r>
        <w:rPr>
          <w:rFonts w:hint="eastAsia" w:ascii="仿宋" w:hAnsi="仿宋" w:eastAsia="仿宋" w:cs="仿宋"/>
          <w:highlight w:val="none"/>
        </w:rPr>
        <w:t xml:space="preserve">    </w:t>
      </w:r>
      <w:r>
        <w:rPr>
          <w:rFonts w:hint="eastAsia" w:ascii="仿宋" w:hAnsi="仿宋" w:eastAsia="仿宋" w:cs="仿宋"/>
          <w:kern w:val="1"/>
          <w:highlight w:val="none"/>
          <w:u w:val="single"/>
          <w:lang w:val="en-US" w:eastAsia="zh-CN"/>
        </w:rPr>
        <w:t>项目验收完成后一次性支付。</w:t>
      </w:r>
      <w:r>
        <w:rPr>
          <w:rFonts w:hint="eastAsia" w:ascii="仿宋" w:hAnsi="仿宋" w:eastAsia="仿宋" w:cs="仿宋"/>
          <w:kern w:val="1"/>
          <w:highlight w:val="none"/>
          <w:u w:val="single"/>
        </w:rPr>
        <w:t xml:space="preserve">                                       </w:t>
      </w:r>
      <w:r>
        <w:rPr>
          <w:rFonts w:hint="eastAsia" w:ascii="仿宋" w:hAnsi="仿宋" w:eastAsia="仿宋" w:cs="仿宋"/>
          <w:highlight w:val="none"/>
        </w:rPr>
        <w:t xml:space="preserve">       </w:t>
      </w:r>
      <w:bookmarkEnd w:id="9"/>
    </w:p>
    <w:p w14:paraId="51780013">
      <w:pPr>
        <w:tabs>
          <w:tab w:val="left" w:pos="1379"/>
        </w:tabs>
        <w:autoSpaceDE w:val="0"/>
        <w:autoSpaceDN w:val="0"/>
        <w:ind w:firstLine="482" w:firstLineChars="200"/>
        <w:jc w:val="left"/>
        <w:outlineLvl w:val="1"/>
        <w:rPr>
          <w:rFonts w:ascii="仿宋" w:hAnsi="仿宋" w:eastAsia="仿宋" w:cs="仿宋"/>
          <w:b/>
          <w:snapToGrid w:val="0"/>
          <w:kern w:val="0"/>
          <w:highlight w:val="none"/>
        </w:rPr>
      </w:pPr>
      <w:bookmarkStart w:id="11" w:name="_Toc12363"/>
      <w:bookmarkStart w:id="12" w:name="_Toc25381"/>
      <w:r>
        <w:rPr>
          <w:rFonts w:hint="eastAsia" w:ascii="仿宋" w:hAnsi="仿宋" w:eastAsia="仿宋" w:cs="仿宋"/>
          <w:b/>
          <w:snapToGrid w:val="0"/>
          <w:kern w:val="0"/>
          <w:highlight w:val="none"/>
        </w:rPr>
        <w:t>第四条 交付时间、地点、方式</w:t>
      </w:r>
      <w:bookmarkEnd w:id="10"/>
      <w:bookmarkEnd w:id="11"/>
      <w:bookmarkEnd w:id="12"/>
    </w:p>
    <w:p w14:paraId="2C0BA089">
      <w:pPr>
        <w:tabs>
          <w:tab w:val="left" w:pos="1379"/>
        </w:tabs>
        <w:autoSpaceDE w:val="0"/>
        <w:autoSpaceDN w:val="0"/>
        <w:ind w:firstLine="480" w:firstLineChars="200"/>
        <w:jc w:val="left"/>
        <w:rPr>
          <w:rFonts w:ascii="仿宋" w:hAnsi="仿宋" w:eastAsia="仿宋" w:cs="仿宋"/>
          <w:snapToGrid w:val="0"/>
          <w:kern w:val="0"/>
          <w:highlight w:val="none"/>
          <w:u w:val="single"/>
        </w:rPr>
      </w:pPr>
      <w:bookmarkStart w:id="13" w:name="_Toc211854449"/>
      <w:bookmarkStart w:id="14" w:name="_Toc185395249"/>
      <w:bookmarkStart w:id="15" w:name="_Toc239233914"/>
      <w:bookmarkStart w:id="16" w:name="_Toc282696226"/>
      <w:bookmarkStart w:id="17" w:name="_Toc286993786"/>
      <w:bookmarkStart w:id="18" w:name="_Toc241833903"/>
      <w:bookmarkStart w:id="19" w:name="_Toc211911348"/>
      <w:bookmarkStart w:id="20" w:name="_Toc283019214"/>
      <w:bookmarkStart w:id="21" w:name="_Toc212019594"/>
      <w:bookmarkStart w:id="22" w:name="_Toc251768862"/>
      <w:bookmarkStart w:id="23" w:name="_Toc247334841"/>
      <w:bookmarkStart w:id="24" w:name="_Toc225244852"/>
      <w:bookmarkStart w:id="25" w:name="_Toc237145406"/>
      <w:bookmarkStart w:id="26" w:name="_Toc225654644"/>
      <w:bookmarkStart w:id="27" w:name="_Toc238984975"/>
      <w:bookmarkStart w:id="28" w:name="_Toc239568418"/>
      <w:bookmarkStart w:id="29" w:name="_Toc225670751"/>
      <w:bookmarkStart w:id="30" w:name="_Toc232492928"/>
      <w:r>
        <w:rPr>
          <w:rFonts w:hint="eastAsia" w:ascii="仿宋" w:hAnsi="仿宋" w:eastAsia="仿宋" w:cs="仿宋"/>
          <w:snapToGrid w:val="0"/>
          <w:kern w:val="0"/>
          <w:highlight w:val="none"/>
        </w:rPr>
        <w:t>1.交付时间：</w:t>
      </w:r>
      <w:r>
        <w:rPr>
          <w:rFonts w:hint="eastAsia" w:ascii="仿宋" w:hAnsi="仿宋" w:eastAsia="仿宋" w:cs="仿宋"/>
          <w:snapToGrid w:val="0"/>
          <w:kern w:val="0"/>
          <w:highlight w:val="none"/>
          <w:u w:val="single"/>
        </w:rPr>
        <w:t xml:space="preserve">                                       </w:t>
      </w:r>
    </w:p>
    <w:p w14:paraId="7D4F47EB">
      <w:pPr>
        <w:tabs>
          <w:tab w:val="left" w:pos="1379"/>
        </w:tabs>
        <w:autoSpaceDE w:val="0"/>
        <w:autoSpaceDN w:val="0"/>
        <w:ind w:firstLine="480" w:firstLineChars="200"/>
        <w:jc w:val="left"/>
        <w:rPr>
          <w:rFonts w:ascii="仿宋" w:hAnsi="仿宋" w:eastAsia="仿宋" w:cs="仿宋"/>
          <w:snapToGrid w:val="0"/>
          <w:kern w:val="0"/>
          <w:highlight w:val="none"/>
        </w:rPr>
      </w:pPr>
      <w:r>
        <w:rPr>
          <w:rFonts w:hint="eastAsia" w:ascii="仿宋" w:hAnsi="仿宋" w:eastAsia="仿宋" w:cs="仿宋"/>
          <w:snapToGrid w:val="0"/>
          <w:kern w:val="0"/>
          <w:highlight w:val="none"/>
        </w:rPr>
        <w:t>2.交付地点：</w:t>
      </w:r>
      <w:r>
        <w:rPr>
          <w:rFonts w:hint="eastAsia" w:ascii="仿宋" w:hAnsi="仿宋" w:eastAsia="仿宋" w:cs="仿宋"/>
          <w:snapToGrid w:val="0"/>
          <w:kern w:val="0"/>
          <w:highlight w:val="none"/>
          <w:u w:val="single"/>
        </w:rPr>
        <w:t xml:space="preserve">                                       </w:t>
      </w:r>
    </w:p>
    <w:p w14:paraId="4A1122DA">
      <w:pPr>
        <w:autoSpaceDE w:val="0"/>
        <w:autoSpaceDN w:val="0"/>
        <w:ind w:firstLine="480" w:firstLineChars="200"/>
        <w:jc w:val="left"/>
        <w:rPr>
          <w:rFonts w:ascii="仿宋" w:hAnsi="仿宋" w:eastAsia="仿宋" w:cs="仿宋"/>
          <w:snapToGrid w:val="0"/>
          <w:kern w:val="0"/>
          <w:highlight w:val="none"/>
          <w:u w:val="single"/>
          <w:lang w:bidi="zh-CN"/>
        </w:rPr>
      </w:pPr>
      <w:r>
        <w:rPr>
          <w:rFonts w:hint="eastAsia" w:ascii="仿宋" w:hAnsi="仿宋" w:eastAsia="仿宋" w:cs="仿宋"/>
          <w:snapToGrid w:val="0"/>
          <w:kern w:val="0"/>
          <w:highlight w:val="none"/>
          <w:lang w:bidi="zh-CN"/>
        </w:rPr>
        <w:t>3.交付条件：</w:t>
      </w:r>
      <w:r>
        <w:rPr>
          <w:rFonts w:hint="eastAsia" w:ascii="仿宋" w:hAnsi="仿宋" w:eastAsia="仿宋" w:cs="仿宋"/>
          <w:snapToGrid w:val="0"/>
          <w:kern w:val="0"/>
          <w:highlight w:val="none"/>
          <w:u w:val="single"/>
          <w:lang w:val="zh-CN" w:bidi="zh-CN"/>
        </w:rPr>
        <w:t xml:space="preserve">                    </w:t>
      </w:r>
      <w:r>
        <w:rPr>
          <w:rFonts w:hint="eastAsia" w:ascii="仿宋" w:hAnsi="仿宋" w:eastAsia="仿宋" w:cs="仿宋"/>
          <w:snapToGrid w:val="0"/>
          <w:kern w:val="0"/>
          <w:highlight w:val="none"/>
          <w:u w:val="single"/>
          <w:lang w:bidi="zh-CN"/>
        </w:rPr>
        <w:t xml:space="preserve">                   </w:t>
      </w:r>
    </w:p>
    <w:p w14:paraId="15E7C279">
      <w:pPr>
        <w:autoSpaceDE w:val="0"/>
        <w:autoSpaceDN w:val="0"/>
        <w:ind w:firstLine="480" w:firstLineChars="200"/>
        <w:jc w:val="left"/>
        <w:rPr>
          <w:rFonts w:ascii="仿宋" w:hAnsi="仿宋" w:eastAsia="仿宋" w:cs="仿宋"/>
          <w:snapToGrid w:val="0"/>
          <w:kern w:val="0"/>
          <w:highlight w:val="none"/>
          <w:u w:val="single"/>
          <w:lang w:bidi="zh-CN"/>
        </w:rPr>
      </w:pPr>
      <w:r>
        <w:rPr>
          <w:rFonts w:hint="eastAsia" w:ascii="仿宋" w:hAnsi="仿宋" w:eastAsia="仿宋" w:cs="仿宋"/>
          <w:snapToGrid w:val="0"/>
          <w:kern w:val="0"/>
          <w:highlight w:val="none"/>
          <w:lang w:bidi="zh-CN"/>
        </w:rPr>
        <w:t>甲方联系人：</w:t>
      </w:r>
      <w:r>
        <w:rPr>
          <w:rFonts w:hint="eastAsia" w:ascii="仿宋" w:hAnsi="仿宋" w:eastAsia="仿宋" w:cs="仿宋"/>
          <w:snapToGrid w:val="0"/>
          <w:kern w:val="0"/>
          <w:highlight w:val="none"/>
          <w:u w:val="single"/>
          <w:lang w:bidi="zh-CN"/>
        </w:rPr>
        <w:t xml:space="preserve">      （姓名，联系方式）               </w:t>
      </w:r>
      <w:r>
        <w:rPr>
          <w:rFonts w:hint="eastAsia" w:ascii="仿宋" w:hAnsi="仿宋" w:eastAsia="仿宋" w:cs="仿宋"/>
          <w:snapToGrid w:val="0"/>
          <w:kern w:val="0"/>
          <w:highlight w:val="none"/>
          <w:lang w:bidi="zh-CN"/>
        </w:rPr>
        <w:t xml:space="preserve"> </w:t>
      </w:r>
    </w:p>
    <w:p w14:paraId="0A9BE73A">
      <w:pPr>
        <w:autoSpaceDE w:val="0"/>
        <w:autoSpaceDN w:val="0"/>
        <w:ind w:firstLine="480" w:firstLineChars="200"/>
        <w:jc w:val="left"/>
        <w:rPr>
          <w:rFonts w:ascii="仿宋" w:hAnsi="仿宋" w:eastAsia="仿宋" w:cs="仿宋"/>
          <w:b/>
          <w:snapToGrid w:val="0"/>
          <w:kern w:val="0"/>
          <w:highlight w:val="none"/>
          <w:lang w:val="zh-CN" w:bidi="zh-CN"/>
        </w:rPr>
      </w:pPr>
      <w:r>
        <w:rPr>
          <w:rFonts w:hint="eastAsia" w:ascii="仿宋" w:hAnsi="仿宋" w:eastAsia="仿宋" w:cs="仿宋"/>
          <w:snapToGrid w:val="0"/>
          <w:kern w:val="0"/>
          <w:highlight w:val="none"/>
          <w:lang w:bidi="zh-CN"/>
        </w:rPr>
        <w:t>乙方联系人：</w:t>
      </w:r>
      <w:r>
        <w:rPr>
          <w:rFonts w:hint="eastAsia" w:ascii="仿宋" w:hAnsi="仿宋" w:eastAsia="仿宋" w:cs="仿宋"/>
          <w:snapToGrid w:val="0"/>
          <w:kern w:val="0"/>
          <w:highlight w:val="none"/>
          <w:u w:val="single"/>
          <w:lang w:bidi="zh-CN"/>
        </w:rPr>
        <w:t xml:space="preserve">      （姓名，联系方式）               </w:t>
      </w:r>
      <w:r>
        <w:rPr>
          <w:rFonts w:hint="eastAsia" w:ascii="仿宋" w:hAnsi="仿宋" w:eastAsia="仿宋" w:cs="仿宋"/>
          <w:snapToGrid w:val="0"/>
          <w:kern w:val="0"/>
          <w:highlight w:val="none"/>
          <w:lang w:bidi="zh-CN"/>
        </w:rPr>
        <w:t xml:space="preserve"> </w:t>
      </w:r>
    </w:p>
    <w:p w14:paraId="35B70896">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31" w:name="_Toc7716"/>
      <w:bookmarkStart w:id="32" w:name="_Toc28705"/>
      <w:bookmarkStart w:id="33" w:name="_Toc7708"/>
      <w:r>
        <w:rPr>
          <w:rFonts w:hint="eastAsia" w:ascii="仿宋" w:hAnsi="仿宋" w:eastAsia="仿宋" w:cs="仿宋"/>
          <w:b/>
          <w:snapToGrid w:val="0"/>
          <w:kern w:val="0"/>
          <w:highlight w:val="none"/>
        </w:rPr>
        <w:t>第五条 质量保证及售后服务</w:t>
      </w:r>
      <w:bookmarkEnd w:id="31"/>
      <w:bookmarkEnd w:id="32"/>
      <w:bookmarkEnd w:id="33"/>
    </w:p>
    <w:p w14:paraId="7B45A2FB">
      <w:pPr>
        <w:pBdr>
          <w:top w:val="none" w:color="000000" w:sz="0" w:space="3"/>
          <w:left w:val="none" w:color="000000" w:sz="0" w:space="3"/>
          <w:bottom w:val="none" w:color="000000" w:sz="0" w:space="3"/>
          <w:right w:val="none" w:color="000000" w:sz="0" w:space="3"/>
          <w:between w:val="none" w:color="000000" w:sz="0" w:space="0"/>
        </w:pBdr>
        <w:ind w:firstLine="480" w:firstLineChars="200"/>
        <w:rPr>
          <w:rFonts w:ascii="仿宋" w:hAnsi="仿宋" w:eastAsia="仿宋" w:cs="仿宋"/>
          <w:kern w:val="1"/>
          <w:highlight w:val="none"/>
        </w:rPr>
      </w:pPr>
      <w:r>
        <w:rPr>
          <w:rFonts w:hint="eastAsia" w:ascii="仿宋" w:hAnsi="仿宋" w:eastAsia="仿宋" w:cs="仿宋"/>
          <w:kern w:val="1"/>
          <w:highlight w:val="none"/>
        </w:rPr>
        <w:t>质量保证：乙方应保证所提供的服务，符合甲方的要求。如不符时，乙方应负全责并尽快处理解决，由此造成的损失和相关费用由乙方负责，甲方保留终止合同及索赔的权利。</w:t>
      </w:r>
    </w:p>
    <w:p w14:paraId="09F43136">
      <w:pPr>
        <w:pBdr>
          <w:top w:val="none" w:color="000000" w:sz="0" w:space="3"/>
          <w:left w:val="none" w:color="000000" w:sz="0" w:space="3"/>
          <w:bottom w:val="none" w:color="000000" w:sz="0" w:space="3"/>
          <w:right w:val="none" w:color="000000" w:sz="0" w:space="3"/>
          <w:between w:val="none" w:color="000000" w:sz="0" w:space="0"/>
        </w:pBdr>
        <w:ind w:firstLine="480" w:firstLineChars="200"/>
        <w:rPr>
          <w:rFonts w:ascii="仿宋" w:hAnsi="仿宋" w:eastAsia="仿宋" w:cs="仿宋"/>
          <w:kern w:val="1"/>
          <w:highlight w:val="none"/>
        </w:rPr>
      </w:pPr>
      <w:r>
        <w:rPr>
          <w:rFonts w:hint="eastAsia" w:ascii="仿宋" w:hAnsi="仿宋" w:eastAsia="仿宋" w:cs="仿宋"/>
          <w:kern w:val="1"/>
          <w:highlight w:val="none"/>
        </w:rPr>
        <w:t>售后服务：</w:t>
      </w:r>
      <w:r>
        <w:rPr>
          <w:rFonts w:hint="eastAsia" w:ascii="仿宋" w:hAnsi="仿宋" w:eastAsia="仿宋" w:cs="仿宋"/>
          <w:kern w:val="1"/>
          <w:highlight w:val="none"/>
          <w:u w:val="single"/>
        </w:rPr>
        <w:t xml:space="preserve">                                </w:t>
      </w:r>
      <w:r>
        <w:rPr>
          <w:rFonts w:hint="eastAsia" w:ascii="仿宋" w:hAnsi="仿宋" w:eastAsia="仿宋" w:cs="仿宋"/>
          <w:kern w:val="1"/>
          <w:highlight w:val="none"/>
        </w:rPr>
        <w:t>。</w:t>
      </w:r>
    </w:p>
    <w:p w14:paraId="219572D9">
      <w:pPr>
        <w:widowControl/>
        <w:numPr>
          <w:ilvl w:val="0"/>
          <w:numId w:val="2"/>
        </w:numPr>
        <w:pBdr>
          <w:top w:val="none" w:color="000000" w:sz="0" w:space="3"/>
          <w:left w:val="none" w:color="000000" w:sz="0" w:space="3"/>
          <w:bottom w:val="none" w:color="000000" w:sz="0" w:space="3"/>
          <w:right w:val="none" w:color="000000" w:sz="0" w:space="3"/>
          <w:between w:val="none" w:color="000000" w:sz="0" w:space="0"/>
        </w:pBdr>
        <w:kinsoku w:val="0"/>
        <w:autoSpaceDE w:val="0"/>
        <w:autoSpaceDN w:val="0"/>
        <w:adjustRightInd w:val="0"/>
        <w:snapToGrid w:val="0"/>
        <w:ind w:firstLine="482" w:firstLineChars="200"/>
        <w:jc w:val="left"/>
        <w:textAlignment w:val="baseline"/>
        <w:outlineLvl w:val="1"/>
        <w:rPr>
          <w:rFonts w:ascii="仿宋" w:hAnsi="仿宋" w:eastAsia="仿宋" w:cs="仿宋"/>
          <w:b/>
          <w:kern w:val="1"/>
          <w:highlight w:val="none"/>
        </w:rPr>
      </w:pPr>
      <w:r>
        <w:rPr>
          <w:rFonts w:hint="eastAsia" w:ascii="仿宋" w:hAnsi="仿宋" w:eastAsia="仿宋" w:cs="仿宋"/>
          <w:b/>
          <w:kern w:val="1"/>
          <w:highlight w:val="none"/>
        </w:rPr>
        <w:t xml:space="preserve"> </w:t>
      </w:r>
      <w:bookmarkStart w:id="34" w:name="_Toc31612"/>
      <w:bookmarkStart w:id="35" w:name="_Toc27776"/>
      <w:bookmarkStart w:id="36" w:name="_Toc22318"/>
      <w:r>
        <w:rPr>
          <w:rFonts w:hint="eastAsia" w:ascii="仿宋" w:hAnsi="仿宋" w:eastAsia="仿宋" w:cs="仿宋"/>
          <w:b/>
          <w:kern w:val="1"/>
          <w:highlight w:val="none"/>
        </w:rPr>
        <w:t>验收</w:t>
      </w:r>
      <w:bookmarkEnd w:id="34"/>
      <w:bookmarkEnd w:id="35"/>
      <w:bookmarkEnd w:id="36"/>
    </w:p>
    <w:p w14:paraId="5875C0C3">
      <w:pPr>
        <w:pBdr>
          <w:top w:val="none" w:color="000000" w:sz="0" w:space="3"/>
          <w:left w:val="none" w:color="000000" w:sz="0" w:space="3"/>
          <w:bottom w:val="none" w:color="000000" w:sz="0" w:space="3"/>
          <w:right w:val="none" w:color="000000" w:sz="0" w:space="3"/>
          <w:between w:val="none" w:color="000000" w:sz="0" w:space="0"/>
        </w:pBdr>
        <w:ind w:firstLine="480" w:firstLineChars="200"/>
        <w:rPr>
          <w:rFonts w:ascii="仿宋" w:hAnsi="仿宋" w:eastAsia="仿宋" w:cs="仿宋"/>
          <w:bCs/>
          <w:kern w:val="1"/>
          <w:highlight w:val="none"/>
          <w:u w:val="single"/>
        </w:rPr>
      </w:pPr>
      <w:r>
        <w:rPr>
          <w:rFonts w:hint="eastAsia" w:ascii="仿宋" w:hAnsi="仿宋" w:eastAsia="仿宋" w:cs="仿宋"/>
          <w:bCs/>
          <w:kern w:val="1"/>
          <w:highlight w:val="none"/>
          <w:u w:val="single"/>
        </w:rPr>
        <w:t xml:space="preserve"> </w:t>
      </w:r>
      <w:r>
        <w:rPr>
          <w:rFonts w:ascii="仿宋" w:hAnsi="仿宋" w:eastAsia="仿宋" w:cs="仿宋"/>
          <w:bCs/>
          <w:kern w:val="1"/>
          <w:highlight w:val="none"/>
          <w:u w:val="single"/>
        </w:rPr>
        <w:t xml:space="preserve">                                                                                                                       </w:t>
      </w:r>
    </w:p>
    <w:p w14:paraId="7ED288E3">
      <w:pPr>
        <w:pBdr>
          <w:top w:val="none" w:color="000000" w:sz="0" w:space="3"/>
          <w:left w:val="none" w:color="000000" w:sz="0" w:space="3"/>
          <w:bottom w:val="none" w:color="000000" w:sz="0" w:space="3"/>
          <w:right w:val="none" w:color="000000" w:sz="0" w:space="3"/>
          <w:between w:val="none" w:color="000000" w:sz="0" w:space="0"/>
        </w:pBdr>
        <w:ind w:firstLine="482" w:firstLineChars="200"/>
        <w:outlineLvl w:val="1"/>
        <w:rPr>
          <w:rFonts w:ascii="仿宋" w:hAnsi="仿宋" w:eastAsia="仿宋" w:cs="仿宋"/>
          <w:b/>
          <w:kern w:val="1"/>
          <w:highlight w:val="none"/>
        </w:rPr>
      </w:pPr>
      <w:bookmarkStart w:id="37" w:name="_Toc2361"/>
      <w:bookmarkStart w:id="38" w:name="_Toc19571"/>
      <w:bookmarkStart w:id="39" w:name="_Toc13257"/>
      <w:r>
        <w:rPr>
          <w:rFonts w:hint="eastAsia" w:ascii="仿宋" w:hAnsi="仿宋" w:eastAsia="仿宋" w:cs="仿宋"/>
          <w:b/>
          <w:kern w:val="1"/>
          <w:highlight w:val="none"/>
        </w:rPr>
        <w:t>第七条  无产权瑕疵条款</w:t>
      </w:r>
      <w:bookmarkEnd w:id="37"/>
      <w:bookmarkEnd w:id="38"/>
      <w:bookmarkEnd w:id="39"/>
    </w:p>
    <w:p w14:paraId="4293CA23">
      <w:pPr>
        <w:widowControl/>
        <w:tabs>
          <w:tab w:val="left" w:pos="1440"/>
        </w:tabs>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乙方保证所提供的服务的所有权完全属于乙方且无任何抵押、查封等产权瑕疵。如有产权瑕疵的，视为乙方违约。乙方应负担由此而产生的一切损失。</w:t>
      </w:r>
    </w:p>
    <w:p w14:paraId="14DBB03A">
      <w:pPr>
        <w:widowControl/>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40" w:name="_Toc30074"/>
      <w:bookmarkStart w:id="41" w:name="_Toc12634"/>
      <w:bookmarkStart w:id="42" w:name="_Toc24422"/>
      <w:r>
        <w:rPr>
          <w:rFonts w:hint="eastAsia" w:ascii="仿宋" w:hAnsi="仿宋" w:eastAsia="仿宋" w:cs="仿宋"/>
          <w:b/>
          <w:snapToGrid w:val="0"/>
          <w:kern w:val="0"/>
          <w:highlight w:val="none"/>
        </w:rPr>
        <w:t>第八条  甲方的权利和义务</w:t>
      </w:r>
      <w:bookmarkEnd w:id="40"/>
      <w:bookmarkEnd w:id="41"/>
      <w:bookmarkEnd w:id="42"/>
    </w:p>
    <w:p w14:paraId="68A4B22B">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4073AB63">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2.甲方有权依据双方签订的考评办法对乙方提供的服务进行定期考评。当考评结果未达到标准时，有权依据考评办法约定的数额扣除履约保证金。</w:t>
      </w:r>
    </w:p>
    <w:p w14:paraId="10BDAD6E">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3.负责检查监督乙方管理工作的实施及制度的执行情况。</w:t>
      </w:r>
    </w:p>
    <w:p w14:paraId="1447342B">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4.根据本合同规定，按时向乙方支付应付服务费用。</w:t>
      </w:r>
    </w:p>
    <w:p w14:paraId="170FED3A">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5.国家法律、法规所规定由甲方承担的其它责任。</w:t>
      </w:r>
    </w:p>
    <w:p w14:paraId="19D8EDE2">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43" w:name="_Toc19623"/>
      <w:bookmarkStart w:id="44" w:name="_Toc7436"/>
      <w:r>
        <w:rPr>
          <w:rFonts w:hint="eastAsia" w:ascii="仿宋" w:hAnsi="仿宋" w:eastAsia="仿宋" w:cs="仿宋"/>
          <w:b/>
          <w:snapToGrid w:val="0"/>
          <w:kern w:val="0"/>
          <w:highlight w:val="none"/>
        </w:rPr>
        <w:t>第九条  乙方的权利和义务</w:t>
      </w:r>
      <w:bookmarkEnd w:id="43"/>
      <w:bookmarkEnd w:id="44"/>
    </w:p>
    <w:p w14:paraId="0F82BC0C">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1.对本合同规定的委托服务范围内的项目享有管理权及服务义务。</w:t>
      </w:r>
    </w:p>
    <w:p w14:paraId="245AE3AC">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2.根据本合同的规定向甲方收取相关服务费用，并有权在本项目管理范围内管理及合理使用。</w:t>
      </w:r>
    </w:p>
    <w:p w14:paraId="7E346622">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3.及时向甲方通告本项目服务范围内有关服务的重大事项，及时配合处理投诉。</w:t>
      </w:r>
    </w:p>
    <w:p w14:paraId="217CAEC7">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snapToGrid w:val="0"/>
          <w:kern w:val="0"/>
          <w:highlight w:val="none"/>
        </w:rPr>
        <w:t>4.</w:t>
      </w:r>
      <w:r>
        <w:rPr>
          <w:rFonts w:hint="eastAsia" w:ascii="仿宋" w:hAnsi="仿宋" w:eastAsia="仿宋" w:cs="仿宋"/>
          <w:bCs/>
          <w:snapToGrid w:val="0"/>
          <w:kern w:val="0"/>
          <w:highlight w:val="none"/>
        </w:rPr>
        <w:t>接受项目行业管理部门及政府有关部门的指导，接受甲方的监督。</w:t>
      </w:r>
    </w:p>
    <w:p w14:paraId="68E11D37">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5.国家法律、法规所规定由乙方承担的其它责任。</w:t>
      </w:r>
    </w:p>
    <w:p w14:paraId="57B587F3">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45" w:name="_Toc18131"/>
      <w:bookmarkStart w:id="46" w:name="_Toc11196"/>
      <w:bookmarkStart w:id="47" w:name="_Toc29819"/>
      <w:r>
        <w:rPr>
          <w:rFonts w:hint="eastAsia" w:ascii="仿宋" w:hAnsi="仿宋" w:eastAsia="仿宋" w:cs="仿宋"/>
          <w:b/>
          <w:snapToGrid w:val="0"/>
          <w:kern w:val="0"/>
          <w:highlight w:val="none"/>
        </w:rPr>
        <w:t>第十条  违约责任</w:t>
      </w:r>
      <w:bookmarkEnd w:id="45"/>
      <w:bookmarkEnd w:id="46"/>
      <w:bookmarkEnd w:id="47"/>
    </w:p>
    <w:p w14:paraId="26047456">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1.甲乙双方必须遵守本合同并执行合同中的各项规定，保证本合同的正常履行。</w:t>
      </w:r>
    </w:p>
    <w:p w14:paraId="229F6AAA">
      <w:pPr>
        <w:widowControl/>
        <w:autoSpaceDE w:val="0"/>
        <w:autoSpaceDN w:val="0"/>
        <w:ind w:firstLine="480" w:firstLineChars="200"/>
        <w:jc w:val="left"/>
        <w:textAlignment w:val="baseline"/>
        <w:rPr>
          <w:rFonts w:ascii="仿宋" w:hAnsi="仿宋" w:eastAsia="仿宋" w:cs="仿宋"/>
          <w:bCs/>
          <w:snapToGrid w:val="0"/>
          <w:kern w:val="0"/>
          <w:highlight w:val="none"/>
        </w:rPr>
      </w:pPr>
      <w:r>
        <w:rPr>
          <w:rFonts w:hint="eastAsia" w:ascii="仿宋" w:hAnsi="仿宋" w:eastAsia="仿宋" w:cs="仿宋"/>
          <w:bCs/>
          <w:snapToGrid w:val="0"/>
          <w:kern w:val="0"/>
          <w:highlight w:val="none"/>
        </w:rPr>
        <w:t>2.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186F4A3E">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48" w:name="_Toc20912"/>
      <w:bookmarkStart w:id="49" w:name="_Toc29882"/>
      <w:bookmarkStart w:id="50" w:name="_Toc30563"/>
      <w:r>
        <w:rPr>
          <w:rFonts w:hint="eastAsia" w:ascii="仿宋" w:hAnsi="仿宋" w:eastAsia="仿宋" w:cs="仿宋"/>
          <w:b/>
          <w:snapToGrid w:val="0"/>
          <w:kern w:val="0"/>
          <w:highlight w:val="none"/>
        </w:rPr>
        <w:t>第十一条  不可抗力事件处理</w:t>
      </w:r>
      <w:bookmarkEnd w:id="48"/>
      <w:bookmarkEnd w:id="49"/>
      <w:bookmarkEnd w:id="50"/>
    </w:p>
    <w:p w14:paraId="3E68DC57">
      <w:pPr>
        <w:widowControl/>
        <w:tabs>
          <w:tab w:val="left" w:pos="0"/>
        </w:tabs>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1.在合同有效期内，任何一方因不可抗力事件导致不能履行合同，则合同履行期可延长，其延长期与不可抗力影响期相同。</w:t>
      </w:r>
    </w:p>
    <w:p w14:paraId="15223148">
      <w:pPr>
        <w:widowControl/>
        <w:tabs>
          <w:tab w:val="left" w:pos="0"/>
        </w:tabs>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2.不可抗力事件发生后，应立即通知对方，并寄送有关权威机构出具的证明。</w:t>
      </w:r>
    </w:p>
    <w:p w14:paraId="7155FEFE">
      <w:pPr>
        <w:widowControl/>
        <w:tabs>
          <w:tab w:val="left" w:pos="0"/>
        </w:tabs>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3.不可抗力事件延续30天以上，双方应通过友好协商，确定是否继续履行合同。</w:t>
      </w:r>
    </w:p>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14:paraId="42B49E77">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51" w:name="_Toc830"/>
      <w:bookmarkStart w:id="52" w:name="_Toc13911"/>
      <w:bookmarkStart w:id="53" w:name="_Toc362"/>
      <w:bookmarkStart w:id="54" w:name="_Toc211854454"/>
      <w:bookmarkStart w:id="55" w:name="_Toc286993792"/>
      <w:bookmarkStart w:id="56" w:name="_Toc239233919"/>
      <w:bookmarkStart w:id="57" w:name="_Toc247334846"/>
      <w:bookmarkStart w:id="58" w:name="_Toc239568423"/>
      <w:bookmarkStart w:id="59" w:name="_Toc225654649"/>
      <w:bookmarkStart w:id="60" w:name="_Toc241833908"/>
      <w:bookmarkStart w:id="61" w:name="_Toc232492933"/>
      <w:bookmarkStart w:id="62" w:name="_Toc225244857"/>
      <w:bookmarkStart w:id="63" w:name="_Toc211911353"/>
      <w:bookmarkStart w:id="64" w:name="_Toc237145411"/>
      <w:bookmarkStart w:id="65" w:name="_Toc225670756"/>
      <w:bookmarkStart w:id="66" w:name="_Toc212019599"/>
      <w:bookmarkStart w:id="67" w:name="_Toc185395254"/>
      <w:bookmarkStart w:id="68" w:name="_Toc238984980"/>
      <w:bookmarkStart w:id="69" w:name="_Toc251768867"/>
      <w:r>
        <w:rPr>
          <w:rFonts w:hint="eastAsia" w:ascii="仿宋" w:hAnsi="仿宋" w:eastAsia="仿宋" w:cs="仿宋"/>
          <w:b/>
          <w:snapToGrid w:val="0"/>
          <w:kern w:val="0"/>
          <w:highlight w:val="none"/>
        </w:rPr>
        <w:t>第十二条  合同的变更和终止</w:t>
      </w:r>
      <w:bookmarkEnd w:id="51"/>
      <w:bookmarkEnd w:id="52"/>
      <w:bookmarkEnd w:id="53"/>
    </w:p>
    <w:p w14:paraId="67734842">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除《中华人民共和国政府采购法》第49条、第50条第二款规定的情形外，本合同一经签订，甲乙双方不得擅自变更、中止或终止合同。</w:t>
      </w:r>
    </w:p>
    <w:p w14:paraId="6DFCCC26">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70" w:name="_Toc317"/>
      <w:bookmarkStart w:id="71" w:name="_Toc25935"/>
      <w:bookmarkStart w:id="72" w:name="_Toc5821"/>
      <w:r>
        <w:rPr>
          <w:rFonts w:hint="eastAsia" w:ascii="仿宋" w:hAnsi="仿宋" w:eastAsia="仿宋" w:cs="仿宋"/>
          <w:b/>
          <w:snapToGrid w:val="0"/>
          <w:kern w:val="0"/>
          <w:highlight w:val="none"/>
        </w:rPr>
        <w:t xml:space="preserve">第十三条  </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Pr>
          <w:rFonts w:hint="eastAsia" w:ascii="仿宋" w:hAnsi="仿宋" w:eastAsia="仿宋" w:cs="仿宋"/>
          <w:b/>
          <w:snapToGrid w:val="0"/>
          <w:kern w:val="0"/>
          <w:highlight w:val="none"/>
        </w:rPr>
        <w:t>争议解决条款</w:t>
      </w:r>
      <w:bookmarkEnd w:id="70"/>
      <w:bookmarkEnd w:id="71"/>
      <w:bookmarkEnd w:id="72"/>
    </w:p>
    <w:p w14:paraId="4723445D">
      <w:pPr>
        <w:pBdr>
          <w:top w:val="none" w:color="000000" w:sz="0" w:space="3"/>
          <w:left w:val="none" w:color="000000" w:sz="0" w:space="3"/>
          <w:bottom w:val="none" w:color="000000" w:sz="0" w:space="3"/>
          <w:right w:val="none" w:color="000000" w:sz="0" w:space="3"/>
          <w:between w:val="none" w:color="000000" w:sz="0" w:space="0"/>
        </w:pBdr>
        <w:ind w:firstLine="480"/>
        <w:rPr>
          <w:rFonts w:ascii="仿宋" w:hAnsi="仿宋" w:eastAsia="仿宋" w:cs="仿宋"/>
          <w:kern w:val="1"/>
          <w:highlight w:val="none"/>
        </w:rPr>
      </w:pPr>
      <w:r>
        <w:rPr>
          <w:rFonts w:hint="eastAsia" w:ascii="仿宋" w:hAnsi="仿宋" w:eastAsia="仿宋" w:cs="仿宋"/>
          <w:kern w:val="1"/>
          <w:highlight w:val="none"/>
        </w:rPr>
        <w:t>在执行本合同中发生的或与本合同有关的争端，双方应通过友好协商解决，经协商在7天内不能达成协议时，则采取：向甲方所在地有管辖权的人民法院提起诉讼；</w:t>
      </w:r>
    </w:p>
    <w:p w14:paraId="13BE38D7">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73" w:name="_Toc241833909"/>
      <w:bookmarkStart w:id="74" w:name="_Toc251768868"/>
      <w:bookmarkStart w:id="75" w:name="_Toc237145412"/>
      <w:bookmarkStart w:id="76" w:name="_Toc225670757"/>
      <w:bookmarkStart w:id="77" w:name="_Toc225244858"/>
      <w:bookmarkStart w:id="78" w:name="_Toc283019219"/>
      <w:bookmarkStart w:id="79" w:name="_Toc238984981"/>
      <w:bookmarkStart w:id="80" w:name="_Toc239233920"/>
      <w:bookmarkStart w:id="81" w:name="_Toc211911354"/>
      <w:bookmarkStart w:id="82" w:name="_Toc239568424"/>
      <w:bookmarkStart w:id="83" w:name="_Toc211854455"/>
      <w:bookmarkStart w:id="84" w:name="_Toc185395255"/>
      <w:bookmarkStart w:id="85" w:name="_Toc212019600"/>
      <w:bookmarkStart w:id="86" w:name="_Toc225654650"/>
      <w:bookmarkStart w:id="87" w:name="_Toc282696231"/>
      <w:bookmarkStart w:id="88" w:name="_Toc286993793"/>
      <w:bookmarkStart w:id="89" w:name="_Toc247334847"/>
      <w:bookmarkStart w:id="90" w:name="_Toc232492934"/>
      <w:bookmarkStart w:id="91" w:name="_Toc29710"/>
      <w:bookmarkStart w:id="92" w:name="_Toc233"/>
      <w:bookmarkStart w:id="93" w:name="_Toc6377"/>
      <w:r>
        <w:rPr>
          <w:rFonts w:hint="eastAsia" w:ascii="仿宋" w:hAnsi="仿宋" w:eastAsia="仿宋" w:cs="仿宋"/>
          <w:b/>
          <w:snapToGrid w:val="0"/>
          <w:kern w:val="0"/>
          <w:highlight w:val="none"/>
        </w:rPr>
        <w:t>第十四条  合同</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r>
        <w:rPr>
          <w:rFonts w:hint="eastAsia" w:ascii="仿宋" w:hAnsi="仿宋" w:eastAsia="仿宋" w:cs="仿宋"/>
          <w:b/>
          <w:snapToGrid w:val="0"/>
          <w:kern w:val="0"/>
          <w:highlight w:val="none"/>
        </w:rPr>
        <w:t>生效及其他</w:t>
      </w:r>
      <w:bookmarkEnd w:id="91"/>
      <w:bookmarkEnd w:id="92"/>
      <w:bookmarkEnd w:id="93"/>
    </w:p>
    <w:p w14:paraId="3E582EBB">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1.合同经双方法定代表人或授权委托代理人签字并加盖单位公章后生效。</w:t>
      </w:r>
    </w:p>
    <w:p w14:paraId="3AADF22C">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2.合同执行中涉及采购资金和采购内容修改或补充的，须经政府采购监管部门审批，并签书面补充协议报政府采购监督管理部门备案，方可作为主合同不可分割的一部分。</w:t>
      </w:r>
    </w:p>
    <w:p w14:paraId="24494D97">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3.本合同一式</w:t>
      </w:r>
      <w:r>
        <w:rPr>
          <w:rFonts w:hint="eastAsia" w:ascii="仿宋" w:hAnsi="仿宋" w:eastAsia="仿宋" w:cs="仿宋"/>
          <w:snapToGrid w:val="0"/>
          <w:kern w:val="0"/>
          <w:highlight w:val="none"/>
          <w:u w:val="single"/>
        </w:rPr>
        <w:t xml:space="preserve">     </w:t>
      </w:r>
      <w:r>
        <w:rPr>
          <w:rFonts w:hint="eastAsia" w:ascii="仿宋" w:hAnsi="仿宋" w:eastAsia="仿宋" w:cs="仿宋"/>
          <w:snapToGrid w:val="0"/>
          <w:kern w:val="0"/>
          <w:highlight w:val="none"/>
        </w:rPr>
        <w:t>份，自双方签章之日起起效。甲方</w:t>
      </w:r>
      <w:r>
        <w:rPr>
          <w:rFonts w:hint="eastAsia" w:ascii="仿宋" w:hAnsi="仿宋" w:eastAsia="仿宋" w:cs="仿宋"/>
          <w:snapToGrid w:val="0"/>
          <w:kern w:val="0"/>
          <w:highlight w:val="none"/>
          <w:u w:val="single"/>
        </w:rPr>
        <w:t xml:space="preserve">     </w:t>
      </w:r>
      <w:r>
        <w:rPr>
          <w:rFonts w:hint="eastAsia" w:ascii="仿宋" w:hAnsi="仿宋" w:eastAsia="仿宋" w:cs="仿宋"/>
          <w:snapToGrid w:val="0"/>
          <w:kern w:val="0"/>
          <w:highlight w:val="none"/>
        </w:rPr>
        <w:t>份，乙方</w:t>
      </w:r>
      <w:r>
        <w:rPr>
          <w:rFonts w:hint="eastAsia" w:ascii="仿宋" w:hAnsi="仿宋" w:eastAsia="仿宋" w:cs="仿宋"/>
          <w:i/>
          <w:iCs/>
          <w:snapToGrid w:val="0"/>
          <w:kern w:val="0"/>
          <w:highlight w:val="none"/>
          <w:u w:val="single"/>
        </w:rPr>
        <w:t xml:space="preserve">     </w:t>
      </w:r>
      <w:r>
        <w:rPr>
          <w:rFonts w:hint="eastAsia" w:ascii="仿宋" w:hAnsi="仿宋" w:eastAsia="仿宋" w:cs="仿宋"/>
          <w:snapToGrid w:val="0"/>
          <w:kern w:val="0"/>
          <w:highlight w:val="none"/>
        </w:rPr>
        <w:t>份，具有同等法律效力。</w:t>
      </w:r>
    </w:p>
    <w:p w14:paraId="27AA4FD1">
      <w:pPr>
        <w:widowControl/>
        <w:tabs>
          <w:tab w:val="left" w:pos="1379"/>
        </w:tabs>
        <w:autoSpaceDE w:val="0"/>
        <w:autoSpaceDN w:val="0"/>
        <w:ind w:firstLine="482" w:firstLineChars="200"/>
        <w:jc w:val="left"/>
        <w:textAlignment w:val="baseline"/>
        <w:outlineLvl w:val="1"/>
        <w:rPr>
          <w:rFonts w:ascii="仿宋" w:hAnsi="仿宋" w:eastAsia="仿宋" w:cs="仿宋"/>
          <w:b/>
          <w:snapToGrid w:val="0"/>
          <w:kern w:val="0"/>
          <w:highlight w:val="none"/>
        </w:rPr>
      </w:pPr>
      <w:bookmarkStart w:id="94" w:name="_Toc15608"/>
      <w:bookmarkStart w:id="95" w:name="_Toc28847"/>
      <w:bookmarkStart w:id="96" w:name="_Toc22754"/>
      <w:r>
        <w:rPr>
          <w:rFonts w:hint="eastAsia" w:ascii="仿宋" w:hAnsi="仿宋" w:eastAsia="仿宋" w:cs="仿宋"/>
          <w:b/>
          <w:snapToGrid w:val="0"/>
          <w:kern w:val="0"/>
          <w:highlight w:val="none"/>
        </w:rPr>
        <w:t>第十五条  附件</w:t>
      </w:r>
      <w:bookmarkEnd w:id="94"/>
      <w:bookmarkEnd w:id="95"/>
      <w:bookmarkEnd w:id="96"/>
    </w:p>
    <w:p w14:paraId="6879EAF2">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1.项目竞争性磋商文件</w:t>
      </w:r>
    </w:p>
    <w:p w14:paraId="3B4F5CB4">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2.项目修改澄清文件（若有）</w:t>
      </w:r>
    </w:p>
    <w:p w14:paraId="7C00ED09">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3.项目响应文件</w:t>
      </w:r>
    </w:p>
    <w:p w14:paraId="1B8FF120">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4.成交通知书</w:t>
      </w:r>
    </w:p>
    <w:p w14:paraId="2E918804">
      <w:pPr>
        <w:widowControl/>
        <w:autoSpaceDE w:val="0"/>
        <w:autoSpaceDN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5.其他</w:t>
      </w:r>
    </w:p>
    <w:p w14:paraId="4668E7F9">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p>
    <w:p w14:paraId="2680B366">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p>
    <w:p w14:paraId="0E768C8D">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p>
    <w:p w14:paraId="42F5A3C3">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 xml:space="preserve">甲     方：（公章）   </w:t>
      </w:r>
      <w:r>
        <w:rPr>
          <w:rFonts w:hint="eastAsia" w:ascii="仿宋" w:hAnsi="仿宋" w:eastAsia="仿宋" w:cs="仿宋"/>
          <w:snapToGrid w:val="0"/>
          <w:kern w:val="0"/>
          <w:highlight w:val="none"/>
        </w:rPr>
        <w:tab/>
      </w:r>
      <w:r>
        <w:rPr>
          <w:rFonts w:hint="eastAsia" w:ascii="仿宋" w:hAnsi="仿宋" w:eastAsia="仿宋" w:cs="仿宋"/>
          <w:snapToGrid w:val="0"/>
          <w:kern w:val="0"/>
          <w:highlight w:val="none"/>
        </w:rPr>
        <w:tab/>
      </w:r>
      <w:r>
        <w:rPr>
          <w:rFonts w:hint="eastAsia" w:ascii="仿宋" w:hAnsi="仿宋" w:eastAsia="仿宋" w:cs="仿宋"/>
          <w:snapToGrid w:val="0"/>
          <w:kern w:val="0"/>
          <w:highlight w:val="none"/>
        </w:rPr>
        <w:tab/>
      </w:r>
      <w:r>
        <w:rPr>
          <w:rFonts w:hint="eastAsia" w:ascii="仿宋" w:hAnsi="仿宋" w:eastAsia="仿宋" w:cs="仿宋"/>
          <w:snapToGrid w:val="0"/>
          <w:kern w:val="0"/>
          <w:highlight w:val="none"/>
        </w:rPr>
        <w:t xml:space="preserve">     乙    方：   （公章）</w:t>
      </w:r>
    </w:p>
    <w:p w14:paraId="52AD4AD0">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法定代表人（委托代理人）：          法定代表人（委托代理人）：</w:t>
      </w:r>
    </w:p>
    <w:p w14:paraId="0CEE0BCB">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地    址：                          地    址：</w:t>
      </w:r>
    </w:p>
    <w:p w14:paraId="632F16E7">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开户银行：                          开户银行：</w:t>
      </w:r>
    </w:p>
    <w:p w14:paraId="4AD52B2C">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账号名称：                          账号名称：</w:t>
      </w:r>
    </w:p>
    <w:p w14:paraId="66666A5C">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账    号：                          账    号：</w:t>
      </w:r>
    </w:p>
    <w:p w14:paraId="04B4E022">
      <w:pPr>
        <w:widowControl/>
        <w:kinsoku w:val="0"/>
        <w:autoSpaceDE w:val="0"/>
        <w:autoSpaceDN w:val="0"/>
        <w:adjustRightInd w:val="0"/>
        <w:snapToGrid w:val="0"/>
        <w:ind w:firstLine="480" w:firstLineChars="2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纳税人识别号：                      纳税人识别号：</w:t>
      </w:r>
    </w:p>
    <w:p w14:paraId="41BF1BE6">
      <w:pPr>
        <w:widowControl/>
        <w:kinsoku w:val="0"/>
        <w:autoSpaceDE w:val="0"/>
        <w:autoSpaceDN w:val="0"/>
        <w:adjustRightInd w:val="0"/>
        <w:snapToGrid w:val="0"/>
        <w:ind w:firstLine="240" w:firstLineChars="100"/>
        <w:jc w:val="left"/>
        <w:textAlignment w:val="baseline"/>
        <w:rPr>
          <w:rFonts w:ascii="仿宋" w:hAnsi="仿宋" w:eastAsia="仿宋" w:cs="仿宋"/>
          <w:snapToGrid w:val="0"/>
          <w:kern w:val="0"/>
          <w:highlight w:val="none"/>
        </w:rPr>
      </w:pPr>
      <w:r>
        <w:rPr>
          <w:rFonts w:hint="eastAsia" w:ascii="仿宋" w:hAnsi="仿宋" w:eastAsia="仿宋" w:cs="仿宋"/>
          <w:snapToGrid w:val="0"/>
          <w:kern w:val="0"/>
          <w:highlight w:val="none"/>
        </w:rPr>
        <w:t xml:space="preserve">  电    话：                          电    话：</w:t>
      </w:r>
    </w:p>
    <w:p w14:paraId="4CF47589">
      <w:pPr>
        <w:widowControl/>
        <w:kinsoku w:val="0"/>
        <w:autoSpaceDE w:val="0"/>
        <w:autoSpaceDN w:val="0"/>
        <w:adjustRightInd w:val="0"/>
        <w:snapToGrid w:val="0"/>
        <w:spacing w:after="120"/>
        <w:ind w:firstLine="480" w:firstLineChars="200"/>
        <w:jc w:val="left"/>
        <w:textAlignment w:val="baseline"/>
        <w:rPr>
          <w:rFonts w:ascii="仿宋" w:hAnsi="仿宋" w:eastAsia="仿宋" w:cs="仿宋"/>
          <w:snapToGrid w:val="0"/>
          <w:highlight w:val="none"/>
        </w:rPr>
      </w:pPr>
      <w:r>
        <w:rPr>
          <w:rFonts w:hint="eastAsia" w:ascii="仿宋" w:hAnsi="仿宋" w:eastAsia="仿宋" w:cs="仿宋"/>
          <w:snapToGrid w:val="0"/>
          <w:highlight w:val="none"/>
        </w:rPr>
        <w:t xml:space="preserve">日    期：    年  月  日 </w:t>
      </w:r>
      <w:r>
        <w:rPr>
          <w:rFonts w:hint="eastAsia" w:ascii="仿宋" w:hAnsi="仿宋" w:eastAsia="仿宋" w:cs="仿宋"/>
          <w:snapToGrid w:val="0"/>
          <w:highlight w:val="none"/>
        </w:rPr>
        <w:tab/>
      </w:r>
      <w:r>
        <w:rPr>
          <w:rFonts w:hint="eastAsia" w:ascii="仿宋" w:hAnsi="仿宋" w:eastAsia="仿宋" w:cs="仿宋"/>
          <w:snapToGrid w:val="0"/>
          <w:highlight w:val="none"/>
        </w:rPr>
        <w:t xml:space="preserve">        日    期：  年  月  日</w:t>
      </w:r>
    </w:p>
    <w:p w14:paraId="057C73EB">
      <w:pPr>
        <w:widowControl/>
        <w:ind w:firstLine="480" w:firstLineChars="200"/>
        <w:jc w:val="left"/>
        <w:rPr>
          <w:rFonts w:ascii="仿宋" w:hAnsi="仿宋" w:eastAsia="仿宋" w:cs="仿宋"/>
          <w:kern w:val="0"/>
          <w:highlight w:val="none"/>
          <w:lang w:eastAsia="zh-Hans"/>
        </w:rPr>
      </w:pPr>
    </w:p>
    <w:p w14:paraId="131E9F7E">
      <w:pPr>
        <w:rPr>
          <w:rFonts w:ascii="仿宋" w:hAnsi="仿宋" w:eastAsia="仿宋" w:cs="仿宋"/>
          <w:highlight w:val="none"/>
          <w:lang w:eastAsia="zh-Hans"/>
        </w:rPr>
      </w:pPr>
    </w:p>
    <w:p w14:paraId="59460EFA"/>
    <w:sectPr>
      <w:pgSz w:w="11906" w:h="16838"/>
      <w:pgMar w:top="1440" w:right="1440" w:bottom="1440" w:left="1440"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F6E171"/>
    <w:multiLevelType w:val="singleLevel"/>
    <w:tmpl w:val="95F6E171"/>
    <w:lvl w:ilvl="0" w:tentative="0">
      <w:start w:val="1"/>
      <w:numFmt w:val="chineseCounting"/>
      <w:suff w:val="space"/>
      <w:lvlText w:val="第%1条"/>
      <w:lvlJc w:val="left"/>
      <w:rPr>
        <w:rFonts w:hint="eastAsia"/>
      </w:rPr>
    </w:lvl>
  </w:abstractNum>
  <w:abstractNum w:abstractNumId="1">
    <w:nsid w:val="2293BF30"/>
    <w:multiLevelType w:val="singleLevel"/>
    <w:tmpl w:val="2293BF30"/>
    <w:lvl w:ilvl="0" w:tentative="0">
      <w:start w:val="6"/>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BBC44E5"/>
    <w:rsid w:val="006140F3"/>
    <w:rsid w:val="0DD060F5"/>
    <w:rsid w:val="39DD3AE3"/>
    <w:rsid w:val="411462D3"/>
    <w:rsid w:val="62F35BD2"/>
    <w:rsid w:val="6BBC44E5"/>
    <w:rsid w:val="7B1649F5"/>
    <w:rsid w:val="7FBD72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wordWrap w:val="0"/>
      <w:topLinePunct/>
      <w:spacing w:line="360" w:lineRule="auto"/>
      <w:jc w:val="both"/>
    </w:pPr>
    <w:rPr>
      <w:rFonts w:eastAsia="宋体" w:asciiTheme="minorHAnsi" w:hAnsiTheme="minorHAnsi" w:cstheme="minorBidi"/>
      <w:kern w:val="2"/>
      <w:sz w:val="24"/>
      <w:szCs w:val="24"/>
      <w:lang w:val="en-US" w:eastAsia="zh-CN" w:bidi="ar-SA"/>
    </w:rPr>
  </w:style>
  <w:style w:type="paragraph" w:styleId="3">
    <w:name w:val="heading 1"/>
    <w:basedOn w:val="1"/>
    <w:next w:val="1"/>
    <w:qFormat/>
    <w:uiPriority w:val="0"/>
    <w:pPr>
      <w:keepNext/>
      <w:keepLines/>
      <w:spacing w:beforeLines="0" w:beforeAutospacing="0" w:afterLines="0" w:afterAutospacing="0" w:line="360" w:lineRule="auto"/>
      <w:jc w:val="left"/>
      <w:outlineLvl w:val="0"/>
    </w:pPr>
    <w:rPr>
      <w:rFonts w:asciiTheme="minorAscii" w:hAnsiTheme="minorAscii"/>
      <w:b/>
      <w:kern w:val="44"/>
      <w:sz w:val="24"/>
    </w:rPr>
  </w:style>
  <w:style w:type="paragraph" w:styleId="4">
    <w:name w:val="heading 2"/>
    <w:basedOn w:val="1"/>
    <w:next w:val="1"/>
    <w:semiHidden/>
    <w:unhideWhenUsed/>
    <w:qFormat/>
    <w:uiPriority w:val="0"/>
    <w:pPr>
      <w:keepNext/>
      <w:keepLines/>
      <w:spacing w:beforeLines="0" w:beforeAutospacing="0" w:afterLines="0" w:afterAutospacing="0" w:line="360" w:lineRule="auto"/>
      <w:ind w:firstLine="420" w:firstLineChars="200"/>
      <w:jc w:val="left"/>
      <w:outlineLvl w:val="1"/>
    </w:pPr>
    <w:rPr>
      <w:rFonts w:ascii="Arial" w:hAnsi="Arial" w:eastAsia="宋体"/>
      <w:sz w:val="24"/>
    </w:rPr>
  </w:style>
  <w:style w:type="paragraph" w:styleId="5">
    <w:name w:val="heading 3"/>
    <w:basedOn w:val="1"/>
    <w:next w:val="1"/>
    <w:semiHidden/>
    <w:unhideWhenUsed/>
    <w:qFormat/>
    <w:uiPriority w:val="0"/>
    <w:pPr>
      <w:keepNext/>
      <w:keepLines/>
      <w:spacing w:beforeLines="0" w:beforeAutospacing="0" w:afterLines="0" w:afterAutospacing="0" w:line="360" w:lineRule="auto"/>
      <w:ind w:firstLine="630" w:firstLineChars="300"/>
      <w:outlineLvl w:val="2"/>
    </w:pPr>
    <w:rPr>
      <w:rFonts w:eastAsia="宋体" w:asciiTheme="minorAscii" w:hAnsiTheme="minorAscii"/>
      <w:sz w:val="2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1855</Words>
  <Characters>1914</Characters>
  <Lines>0</Lines>
  <Paragraphs>0</Paragraphs>
  <TotalTime>0</TotalTime>
  <ScaleCrop>false</ScaleCrop>
  <LinksUpToDate>false</LinksUpToDate>
  <CharactersWithSpaces>3030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2025-11-26T07:24:00Z</dcterms:created>
  <dc:creator>CL</dc:creator>
  <cp:lastModifiedBy>CL</cp:lastModifiedBy>
  <dcterms:modified xsi:type="dcterms:W3CDTF">2025-11-26T07:28:13Z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DABF1CCF01D044A08205CB06EE6C1CD3_11</vt:lpwstr>
  </property>
  <property fmtid="{D5CDD505-2E9C-101B-9397-08002B2CF9AE}" pid="4" name="KSOTemplateDocerSaveRecord">
    <vt:lpwstr>eyJoZGlkIjoiNmRmMTljNGYxMGI1MWU1YzE0NmZmODE3MjAwNjliZTgiLCJ1c2VySWQiOiI5OTA3NTIwNzAifQ==</vt:lpwstr>
  </property>
</Properties>
</file>