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F8E07E">
      <w:pPr>
        <w:pStyle w:val="4"/>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center"/>
        <w:textAlignment w:val="auto"/>
        <w:outlineLvl w:val="0"/>
        <w:rPr>
          <w:rStyle w:val="7"/>
          <w:rFonts w:hint="eastAsia" w:ascii="宋体" w:hAnsi="宋体" w:eastAsia="宋体" w:cs="宋体"/>
          <w:lang w:val="en-US" w:eastAsia="zh-CN"/>
        </w:rPr>
      </w:pPr>
      <w:r>
        <w:rPr>
          <w:rStyle w:val="7"/>
          <w:rFonts w:hint="eastAsia" w:ascii="宋体" w:hAnsi="宋体" w:eastAsia="宋体" w:cs="宋体"/>
          <w:lang w:val="en-US" w:eastAsia="zh-CN"/>
        </w:rPr>
        <w:t>合同格式</w:t>
      </w:r>
    </w:p>
    <w:p w14:paraId="6B2DB342">
      <w:pPr>
        <w:keepNext w:val="0"/>
        <w:keepLines w:val="0"/>
        <w:pageBreakBefore w:val="0"/>
        <w:widowControl w:val="0"/>
        <w:kinsoku/>
        <w:wordWrap/>
        <w:overflowPunct/>
        <w:topLinePunct w:val="0"/>
        <w:bidi w:val="0"/>
        <w:snapToGrid w:val="0"/>
        <w:spacing w:line="360" w:lineRule="auto"/>
        <w:ind w:firstLine="481"/>
        <w:jc w:val="left"/>
        <w:textAlignment w:val="auto"/>
        <w:rPr>
          <w:rFonts w:hint="eastAsia" w:ascii="宋体" w:hAnsi="宋体" w:eastAsia="宋体" w:cs="宋体"/>
          <w:b/>
          <w:color w:val="auto"/>
          <w:sz w:val="24"/>
          <w:szCs w:val="24"/>
          <w:u w:val="single"/>
        </w:rPr>
      </w:pPr>
      <w:bookmarkStart w:id="0" w:name="_Toc5163"/>
      <w:bookmarkStart w:id="1" w:name="_Toc19026"/>
      <w:bookmarkStart w:id="2" w:name="_Toc32018"/>
      <w:bookmarkStart w:id="3" w:name="_Toc24356"/>
      <w:bookmarkStart w:id="4" w:name="_Toc5692"/>
      <w:r>
        <w:rPr>
          <w:rFonts w:hint="eastAsia" w:ascii="宋体" w:hAnsi="宋体" w:eastAsia="宋体" w:cs="宋体"/>
          <w:b/>
          <w:color w:val="auto"/>
          <w:sz w:val="24"/>
          <w:szCs w:val="24"/>
          <w:u w:val="single"/>
        </w:rPr>
        <w:t>注：本合同仅为参考文本，合同签订双方可根据项目的具体要求进行修订，付款方式、合同总价等</w:t>
      </w:r>
      <w:r>
        <w:rPr>
          <w:rFonts w:hint="eastAsia" w:ascii="宋体" w:hAnsi="宋体" w:cs="宋体"/>
          <w:b/>
          <w:color w:val="auto"/>
          <w:sz w:val="24"/>
          <w:szCs w:val="24"/>
          <w:u w:val="single"/>
          <w:lang w:val="en-US" w:eastAsia="zh-CN"/>
        </w:rPr>
        <w:t>实质性</w:t>
      </w:r>
      <w:r>
        <w:rPr>
          <w:rFonts w:hint="eastAsia" w:ascii="宋体" w:hAnsi="宋体" w:eastAsia="宋体" w:cs="宋体"/>
          <w:b/>
          <w:color w:val="auto"/>
          <w:sz w:val="24"/>
          <w:szCs w:val="24"/>
          <w:u w:val="single"/>
        </w:rPr>
        <w:t>条款不得修改。</w:t>
      </w:r>
      <w:bookmarkEnd w:id="0"/>
      <w:bookmarkEnd w:id="1"/>
      <w:bookmarkEnd w:id="2"/>
      <w:bookmarkEnd w:id="3"/>
      <w:bookmarkEnd w:id="4"/>
    </w:p>
    <w:p w14:paraId="299D362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甲方：</w:t>
      </w:r>
      <w:r>
        <w:rPr>
          <w:rFonts w:hint="eastAsia" w:ascii="宋体" w:hAnsi="宋体" w:cs="宋体"/>
          <w:b/>
          <w:bCs/>
          <w:sz w:val="24"/>
          <w:szCs w:val="24"/>
          <w:u w:val="single"/>
          <w:lang w:val="en-US" w:eastAsia="zh-CN"/>
        </w:rPr>
        <w:t>西安市农产品质量安全检验监测中心</w:t>
      </w:r>
    </w:p>
    <w:p w14:paraId="2D95B60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乙方：</w:t>
      </w:r>
    </w:p>
    <w:p w14:paraId="696031A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年</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月</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日</w:t>
      </w:r>
      <w:r>
        <w:rPr>
          <w:rFonts w:hint="eastAsia" w:ascii="宋体" w:hAnsi="宋体" w:eastAsia="宋体" w:cs="宋体"/>
          <w:sz w:val="24"/>
          <w:szCs w:val="24"/>
        </w:rPr>
        <w:t>，</w:t>
      </w:r>
      <w:r>
        <w:rPr>
          <w:rFonts w:hint="eastAsia" w:ascii="宋体" w:hAnsi="宋体" w:cs="宋体"/>
          <w:b/>
          <w:bCs/>
          <w:sz w:val="24"/>
          <w:szCs w:val="24"/>
          <w:u w:val="single"/>
          <w:lang w:val="en-US" w:eastAsia="zh-CN"/>
        </w:rPr>
        <w:t>西安市农产品质量安全检验监测中心</w:t>
      </w:r>
      <w:r>
        <w:rPr>
          <w:rFonts w:hint="eastAsia" w:ascii="宋体" w:hAnsi="宋体" w:eastAsia="宋体" w:cs="宋体"/>
          <w:sz w:val="24"/>
          <w:szCs w:val="24"/>
        </w:rPr>
        <w:t>（以下简称“甲方”）以竞争性</w:t>
      </w:r>
      <w:r>
        <w:rPr>
          <w:rFonts w:hint="eastAsia" w:ascii="宋体" w:hAnsi="宋体" w:eastAsia="宋体" w:cs="宋体"/>
          <w:sz w:val="24"/>
          <w:szCs w:val="24"/>
          <w:lang w:val="en-US" w:eastAsia="zh-CN"/>
        </w:rPr>
        <w:t>谈判</w:t>
      </w:r>
      <w:r>
        <w:rPr>
          <w:rFonts w:hint="eastAsia" w:ascii="宋体" w:hAnsi="宋体" w:eastAsia="宋体" w:cs="宋体"/>
          <w:sz w:val="24"/>
          <w:szCs w:val="24"/>
        </w:rPr>
        <w:t>方式对“</w:t>
      </w:r>
      <w:r>
        <w:rPr>
          <w:rFonts w:hint="eastAsia" w:ascii="宋体" w:hAnsi="宋体" w:cs="宋体"/>
          <w:sz w:val="24"/>
          <w:szCs w:val="24"/>
          <w:lang w:val="en-US" w:eastAsia="zh-CN"/>
        </w:rPr>
        <w:t>2025年度省级农产品质量安全监管能力提升项目</w:t>
      </w:r>
      <w:r>
        <w:rPr>
          <w:rFonts w:hint="eastAsia" w:ascii="宋体" w:hAnsi="宋体" w:eastAsia="宋体" w:cs="宋体"/>
          <w:sz w:val="24"/>
          <w:szCs w:val="24"/>
        </w:rPr>
        <w:t>”（项目编号：</w:t>
      </w:r>
      <w:r>
        <w:rPr>
          <w:rFonts w:hint="eastAsia" w:ascii="宋体" w:hAnsi="宋体" w:eastAsia="宋体" w:cs="宋体"/>
          <w:sz w:val="24"/>
          <w:szCs w:val="24"/>
          <w:highlight w:val="none"/>
          <w:lang w:eastAsia="zh-CN"/>
        </w:rPr>
        <w:t>SXDZ2025-ZC-TP048</w:t>
      </w:r>
      <w:r>
        <w:rPr>
          <w:rFonts w:hint="eastAsia" w:ascii="宋体" w:hAnsi="宋体" w:eastAsia="宋体" w:cs="宋体"/>
          <w:sz w:val="24"/>
          <w:szCs w:val="24"/>
        </w:rPr>
        <w:t>）进行了采购。经</w:t>
      </w:r>
      <w:r>
        <w:rPr>
          <w:rFonts w:hint="eastAsia" w:ascii="宋体" w:hAnsi="宋体" w:eastAsia="宋体" w:cs="宋体"/>
          <w:sz w:val="24"/>
          <w:szCs w:val="24"/>
          <w:lang w:val="en-US" w:eastAsia="zh-CN"/>
        </w:rPr>
        <w:t>谈判</w:t>
      </w:r>
      <w:r>
        <w:rPr>
          <w:rFonts w:hint="eastAsia" w:ascii="宋体" w:hAnsi="宋体" w:eastAsia="宋体" w:cs="宋体"/>
          <w:sz w:val="24"/>
          <w:szCs w:val="24"/>
        </w:rPr>
        <w:t>小组评定，</w:t>
      </w:r>
      <w:r>
        <w:rPr>
          <w:rFonts w:hint="eastAsia" w:ascii="宋体" w:hAnsi="宋体" w:eastAsia="宋体" w:cs="宋体"/>
          <w:sz w:val="24"/>
          <w:szCs w:val="24"/>
          <w:u w:val="single"/>
        </w:rPr>
        <w:t>（成交供应商名称）</w:t>
      </w:r>
      <w:r>
        <w:rPr>
          <w:rFonts w:hint="eastAsia" w:ascii="宋体" w:hAnsi="宋体" w:eastAsia="宋体" w:cs="宋体"/>
          <w:sz w:val="24"/>
          <w:szCs w:val="24"/>
        </w:rPr>
        <w:t>（以下简称“乙方”）为该项目成交供应商。现于成交通知书发出之日起</w:t>
      </w:r>
      <w:r>
        <w:rPr>
          <w:rFonts w:hint="eastAsia" w:ascii="宋体" w:hAnsi="宋体" w:cs="宋体"/>
          <w:sz w:val="24"/>
          <w:szCs w:val="24"/>
          <w:lang w:val="en-US" w:eastAsia="zh-CN"/>
        </w:rPr>
        <w:t>三十</w:t>
      </w:r>
      <w:r>
        <w:rPr>
          <w:rFonts w:hint="eastAsia" w:ascii="宋体" w:hAnsi="宋体" w:eastAsia="宋体" w:cs="宋体"/>
          <w:sz w:val="24"/>
          <w:szCs w:val="24"/>
        </w:rPr>
        <w:t>日内，按照采购文件确定的事项签订本合同。</w:t>
      </w:r>
    </w:p>
    <w:p w14:paraId="50E2218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zh-CN"/>
        </w:rPr>
        <w:t>根据《中华人民共和国民法典》、《中华人民共和国政府采购法》等相关法律法规之规定，按照平等、自愿、公平和诚实信用的原则，经甲方和乙方协商一致，约定以下合同</w:t>
      </w:r>
      <w:r>
        <w:rPr>
          <w:rFonts w:hint="eastAsia" w:ascii="宋体" w:hAnsi="宋体" w:eastAsia="宋体" w:cs="宋体"/>
          <w:sz w:val="24"/>
          <w:szCs w:val="24"/>
        </w:rPr>
        <w:t>条款，以兹共同遵守、全面履行。</w:t>
      </w:r>
    </w:p>
    <w:p w14:paraId="7A32886B">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sz w:val="24"/>
          <w:szCs w:val="24"/>
        </w:rPr>
      </w:pPr>
      <w:bookmarkStart w:id="5" w:name="_Toc22967"/>
      <w:bookmarkStart w:id="6" w:name="_Toc20421"/>
      <w:bookmarkStart w:id="7" w:name="_Toc15367"/>
      <w:bookmarkStart w:id="8" w:name="_Toc19514"/>
      <w:bookmarkStart w:id="9" w:name="_Toc6601"/>
      <w:bookmarkStart w:id="10" w:name="_Toc9470"/>
      <w:bookmarkStart w:id="11" w:name="_Toc26482"/>
      <w:bookmarkStart w:id="12" w:name="_Toc28855"/>
      <w:r>
        <w:rPr>
          <w:rFonts w:hint="eastAsia" w:ascii="宋体" w:hAnsi="宋体" w:eastAsia="宋体" w:cs="宋体"/>
          <w:b/>
          <w:sz w:val="24"/>
          <w:szCs w:val="24"/>
        </w:rPr>
        <w:t>1.1 合同组成部分</w:t>
      </w:r>
      <w:bookmarkEnd w:id="5"/>
      <w:bookmarkEnd w:id="6"/>
      <w:bookmarkEnd w:id="7"/>
      <w:bookmarkEnd w:id="8"/>
      <w:bookmarkEnd w:id="9"/>
      <w:bookmarkEnd w:id="10"/>
      <w:bookmarkEnd w:id="11"/>
      <w:bookmarkEnd w:id="12"/>
    </w:p>
    <w:p w14:paraId="5C02A9D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3F867D7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 本合同及其补充合同、变更协议；</w:t>
      </w:r>
    </w:p>
    <w:p w14:paraId="3FB876B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 成交通知书；</w:t>
      </w:r>
    </w:p>
    <w:p w14:paraId="28BFF9A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 响应文件（含澄清或者说明文件）；</w:t>
      </w:r>
    </w:p>
    <w:p w14:paraId="7450A18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 竞争性</w:t>
      </w:r>
      <w:r>
        <w:rPr>
          <w:rFonts w:hint="eastAsia" w:ascii="宋体" w:hAnsi="宋体" w:eastAsia="宋体" w:cs="宋体"/>
          <w:sz w:val="24"/>
          <w:szCs w:val="24"/>
          <w:lang w:val="en-US" w:eastAsia="zh-CN"/>
        </w:rPr>
        <w:t>谈判</w:t>
      </w:r>
      <w:r>
        <w:rPr>
          <w:rFonts w:hint="eastAsia" w:ascii="宋体" w:hAnsi="宋体" w:eastAsia="宋体" w:cs="宋体"/>
          <w:sz w:val="24"/>
          <w:szCs w:val="24"/>
        </w:rPr>
        <w:t>文件（含澄清或者修改文件）；</w:t>
      </w:r>
    </w:p>
    <w:p w14:paraId="620EAB0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 其他相关采购文件。</w:t>
      </w:r>
    </w:p>
    <w:p w14:paraId="569689A6">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bookmarkStart w:id="13" w:name="_Toc24300"/>
      <w:bookmarkStart w:id="14" w:name="_Toc27126"/>
      <w:bookmarkStart w:id="15" w:name="_Toc12433"/>
      <w:bookmarkStart w:id="16" w:name="_Toc21295"/>
      <w:bookmarkStart w:id="17" w:name="_Toc5635"/>
      <w:bookmarkStart w:id="18" w:name="_Toc6409"/>
      <w:bookmarkStart w:id="19" w:name="_Toc13918"/>
      <w:bookmarkStart w:id="20" w:name="_Toc21124"/>
      <w:bookmarkStart w:id="21" w:name="_Toc4929"/>
      <w:bookmarkStart w:id="22" w:name="_Toc1386"/>
      <w:bookmarkStart w:id="23" w:name="_Toc21782"/>
      <w:bookmarkStart w:id="24" w:name="_Toc25535"/>
      <w:bookmarkStart w:id="25" w:name="_Toc20141"/>
      <w:r>
        <w:rPr>
          <w:rFonts w:hint="eastAsia" w:ascii="宋体" w:hAnsi="宋体" w:eastAsia="宋体" w:cs="宋体"/>
          <w:b/>
          <w:sz w:val="24"/>
          <w:szCs w:val="24"/>
        </w:rPr>
        <w:t>1.2货物</w:t>
      </w:r>
      <w:bookmarkEnd w:id="13"/>
      <w:bookmarkEnd w:id="14"/>
      <w:bookmarkEnd w:id="15"/>
      <w:bookmarkEnd w:id="16"/>
    </w:p>
    <w:p w14:paraId="126BA2C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1.2.1货物</w:t>
      </w:r>
      <w:r>
        <w:rPr>
          <w:rFonts w:hint="eastAsia" w:ascii="宋体" w:hAnsi="宋体" w:eastAsia="宋体" w:cs="宋体"/>
          <w:sz w:val="24"/>
          <w:szCs w:val="24"/>
          <w:highlight w:val="none"/>
          <w:lang w:val="en-US" w:eastAsia="zh-CN"/>
        </w:rPr>
        <w:t>名</w:t>
      </w:r>
      <w:r>
        <w:rPr>
          <w:rFonts w:hint="eastAsia" w:ascii="宋体" w:hAnsi="宋体" w:eastAsia="宋体" w:cs="宋体"/>
          <w:sz w:val="24"/>
          <w:szCs w:val="24"/>
          <w:highlight w:val="none"/>
          <w:lang w:val="zh-CN"/>
        </w:rPr>
        <w:t>称：</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14:paraId="345CE43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1.2.2货物数量：</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14:paraId="5768DC7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1.2.3货物质量：</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14:paraId="12C54D27">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1.3 价款</w:t>
      </w:r>
      <w:bookmarkEnd w:id="17"/>
      <w:bookmarkEnd w:id="18"/>
      <w:bookmarkEnd w:id="19"/>
      <w:bookmarkEnd w:id="20"/>
      <w:bookmarkEnd w:id="21"/>
      <w:bookmarkEnd w:id="22"/>
      <w:bookmarkEnd w:id="23"/>
      <w:bookmarkEnd w:id="24"/>
      <w:bookmarkEnd w:id="25"/>
    </w:p>
    <w:p w14:paraId="6D6E749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本合同总价为：￥</w:t>
      </w:r>
      <w:r>
        <w:rPr>
          <w:rFonts w:hint="eastAsia" w:ascii="宋体" w:hAnsi="宋体" w:eastAsia="宋体" w:cs="宋体"/>
          <w:sz w:val="24"/>
          <w:szCs w:val="24"/>
          <w:u w:val="single"/>
        </w:rPr>
        <w:t xml:space="preserve">           </w:t>
      </w:r>
      <w:r>
        <w:rPr>
          <w:rFonts w:hint="eastAsia" w:ascii="宋体" w:hAnsi="宋体" w:eastAsia="宋体" w:cs="宋体"/>
          <w:sz w:val="24"/>
          <w:szCs w:val="24"/>
        </w:rPr>
        <w:t>元（大写：</w:t>
      </w:r>
      <w:r>
        <w:rPr>
          <w:rFonts w:hint="eastAsia" w:ascii="宋体" w:hAnsi="宋体" w:eastAsia="宋体" w:cs="宋体"/>
          <w:sz w:val="24"/>
          <w:szCs w:val="24"/>
          <w:u w:val="single"/>
        </w:rPr>
        <w:t xml:space="preserve">                 </w:t>
      </w:r>
      <w:r>
        <w:rPr>
          <w:rFonts w:hint="eastAsia" w:ascii="宋体" w:hAnsi="宋体" w:eastAsia="宋体" w:cs="宋体"/>
          <w:sz w:val="24"/>
          <w:szCs w:val="24"/>
        </w:rPr>
        <w:t>元人民币）。</w:t>
      </w:r>
    </w:p>
    <w:p w14:paraId="42E46A5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分项价格：</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525D4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0A47B3BA">
            <w:pPr>
              <w:pStyle w:val="8"/>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序号</w:t>
            </w:r>
          </w:p>
        </w:tc>
        <w:tc>
          <w:tcPr>
            <w:tcW w:w="3402" w:type="dxa"/>
            <w:noWrap w:val="0"/>
            <w:vAlign w:val="center"/>
          </w:tcPr>
          <w:p w14:paraId="5EA98AD8">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r>
              <w:rPr>
                <w:rFonts w:hint="eastAsia" w:ascii="宋体" w:hAnsi="宋体" w:eastAsia="宋体" w:cs="宋体"/>
                <w:sz w:val="24"/>
                <w:szCs w:val="24"/>
              </w:rPr>
              <w:t>分项名称</w:t>
            </w:r>
          </w:p>
        </w:tc>
        <w:tc>
          <w:tcPr>
            <w:tcW w:w="2552" w:type="dxa"/>
            <w:noWrap w:val="0"/>
            <w:vAlign w:val="center"/>
          </w:tcPr>
          <w:p w14:paraId="7502F7B8">
            <w:pPr>
              <w:pStyle w:val="8"/>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分项价格</w:t>
            </w:r>
          </w:p>
        </w:tc>
      </w:tr>
      <w:tr w14:paraId="1995D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2947019B">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3402" w:type="dxa"/>
            <w:noWrap w:val="0"/>
            <w:vAlign w:val="center"/>
          </w:tcPr>
          <w:p w14:paraId="36020FC6">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2552" w:type="dxa"/>
            <w:noWrap w:val="0"/>
            <w:vAlign w:val="center"/>
          </w:tcPr>
          <w:p w14:paraId="38597AD4">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r>
      <w:tr w14:paraId="31410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5EE7E2C0">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3402" w:type="dxa"/>
            <w:noWrap w:val="0"/>
            <w:vAlign w:val="center"/>
          </w:tcPr>
          <w:p w14:paraId="40BFCDA4">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2552" w:type="dxa"/>
            <w:noWrap w:val="0"/>
            <w:vAlign w:val="center"/>
          </w:tcPr>
          <w:p w14:paraId="5546513B">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r>
      <w:tr w14:paraId="6211A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335443B4">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3402" w:type="dxa"/>
            <w:noWrap w:val="0"/>
            <w:vAlign w:val="center"/>
          </w:tcPr>
          <w:p w14:paraId="35B75526">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2552" w:type="dxa"/>
            <w:noWrap w:val="0"/>
            <w:vAlign w:val="center"/>
          </w:tcPr>
          <w:p w14:paraId="7A939B57">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r>
      <w:tr w14:paraId="5EC2A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3B62A5A8">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3402" w:type="dxa"/>
            <w:noWrap w:val="0"/>
            <w:vAlign w:val="center"/>
          </w:tcPr>
          <w:p w14:paraId="68B7790F">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2552" w:type="dxa"/>
            <w:noWrap w:val="0"/>
            <w:vAlign w:val="center"/>
          </w:tcPr>
          <w:p w14:paraId="5E9AC767">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r>
      <w:tr w14:paraId="4509C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noWrap w:val="0"/>
            <w:vAlign w:val="center"/>
          </w:tcPr>
          <w:p w14:paraId="165AD459">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r>
              <w:rPr>
                <w:rFonts w:hint="eastAsia" w:ascii="宋体" w:hAnsi="宋体" w:eastAsia="宋体" w:cs="宋体"/>
                <w:sz w:val="24"/>
                <w:szCs w:val="24"/>
              </w:rPr>
              <w:t>总价</w:t>
            </w:r>
          </w:p>
        </w:tc>
        <w:tc>
          <w:tcPr>
            <w:tcW w:w="2552" w:type="dxa"/>
            <w:noWrap w:val="0"/>
            <w:vAlign w:val="center"/>
          </w:tcPr>
          <w:p w14:paraId="7F55FEE1">
            <w:pPr>
              <w:pStyle w:val="8"/>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r>
    </w:tbl>
    <w:p w14:paraId="6EEB8BEB">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highlight w:val="none"/>
          <w:lang w:eastAsia="zh-CN"/>
        </w:rPr>
      </w:pPr>
      <w:bookmarkStart w:id="26" w:name="_Toc3654"/>
      <w:bookmarkStart w:id="27" w:name="_Toc30158"/>
      <w:bookmarkStart w:id="28" w:name="_Toc14993"/>
      <w:bookmarkStart w:id="29" w:name="_Toc17639"/>
      <w:bookmarkStart w:id="30" w:name="_Toc30506"/>
      <w:bookmarkStart w:id="31" w:name="_Toc13174"/>
      <w:bookmarkStart w:id="32" w:name="_Toc13113"/>
      <w:bookmarkStart w:id="33" w:name="_Toc26916"/>
      <w:bookmarkStart w:id="34" w:name="_Toc15617"/>
      <w:r>
        <w:rPr>
          <w:rFonts w:hint="eastAsia" w:ascii="宋体" w:hAnsi="宋体" w:eastAsia="宋体" w:cs="宋体"/>
          <w:b/>
          <w:sz w:val="24"/>
          <w:szCs w:val="24"/>
          <w:highlight w:val="none"/>
        </w:rPr>
        <w:t>1.4 付款方式</w:t>
      </w:r>
      <w:bookmarkEnd w:id="26"/>
      <w:bookmarkEnd w:id="27"/>
      <w:bookmarkEnd w:id="28"/>
      <w:bookmarkEnd w:id="29"/>
      <w:bookmarkEnd w:id="30"/>
      <w:bookmarkEnd w:id="31"/>
      <w:bookmarkEnd w:id="32"/>
      <w:bookmarkEnd w:id="33"/>
      <w:bookmarkEnd w:id="34"/>
      <w:r>
        <w:rPr>
          <w:rFonts w:hint="eastAsia" w:ascii="宋体" w:hAnsi="宋体" w:eastAsia="宋体" w:cs="宋体"/>
          <w:b/>
          <w:sz w:val="24"/>
          <w:szCs w:val="24"/>
          <w:highlight w:val="none"/>
          <w:lang w:eastAsia="zh-CN"/>
        </w:rPr>
        <w:t>：合合同签订后10日内支付合同总价款的100%</w:t>
      </w:r>
    </w:p>
    <w:p w14:paraId="5F060C67">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bookmarkStart w:id="35" w:name="_Toc19039"/>
      <w:bookmarkStart w:id="36" w:name="_Toc17784"/>
      <w:bookmarkStart w:id="37" w:name="_Toc31421"/>
      <w:bookmarkStart w:id="38" w:name="_Toc4760"/>
      <w:bookmarkStart w:id="39" w:name="_Toc3625"/>
      <w:bookmarkStart w:id="40" w:name="_Toc8772"/>
      <w:bookmarkStart w:id="41" w:name="_Toc18630"/>
      <w:bookmarkStart w:id="42" w:name="_Toc11108"/>
      <w:r>
        <w:rPr>
          <w:rFonts w:hint="eastAsia" w:ascii="宋体" w:hAnsi="宋体" w:eastAsia="宋体" w:cs="宋体"/>
          <w:b/>
          <w:sz w:val="24"/>
          <w:szCs w:val="24"/>
        </w:rPr>
        <w:t>1.5 履行期限、</w:t>
      </w:r>
      <w:r>
        <w:rPr>
          <w:rFonts w:hint="eastAsia" w:ascii="宋体" w:hAnsi="宋体" w:eastAsia="宋体" w:cs="宋体"/>
          <w:b/>
          <w:sz w:val="24"/>
          <w:szCs w:val="24"/>
          <w:lang w:val="en-US" w:eastAsia="zh-CN"/>
        </w:rPr>
        <w:t>质保期、</w:t>
      </w:r>
      <w:r>
        <w:rPr>
          <w:rFonts w:hint="eastAsia" w:ascii="宋体" w:hAnsi="宋体" w:eastAsia="宋体" w:cs="宋体"/>
          <w:b/>
          <w:sz w:val="24"/>
          <w:szCs w:val="24"/>
        </w:rPr>
        <w:t>地点和方式</w:t>
      </w:r>
      <w:bookmarkEnd w:id="35"/>
      <w:bookmarkEnd w:id="36"/>
      <w:bookmarkEnd w:id="37"/>
      <w:bookmarkEnd w:id="38"/>
      <w:bookmarkEnd w:id="39"/>
      <w:bookmarkEnd w:id="40"/>
      <w:bookmarkEnd w:id="41"/>
      <w:bookmarkEnd w:id="42"/>
    </w:p>
    <w:p w14:paraId="1918EFF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 xml:space="preserve">1.5.1 </w:t>
      </w:r>
      <w:r>
        <w:rPr>
          <w:rFonts w:hint="eastAsia" w:ascii="宋体" w:hAnsi="宋体" w:eastAsia="宋体" w:cs="宋体"/>
          <w:sz w:val="24"/>
          <w:szCs w:val="24"/>
          <w:highlight w:val="none"/>
          <w:lang w:val="en-US" w:eastAsia="zh-CN"/>
        </w:rPr>
        <w:t>合同履行期限</w:t>
      </w: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自合同签订之日起15个日历日</w:t>
      </w:r>
    </w:p>
    <w:p w14:paraId="09B98D4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 xml:space="preserve">1.5.2 </w:t>
      </w:r>
      <w:r>
        <w:rPr>
          <w:rFonts w:hint="eastAsia" w:ascii="宋体" w:hAnsi="宋体" w:eastAsia="宋体" w:cs="宋体"/>
          <w:sz w:val="24"/>
          <w:szCs w:val="24"/>
          <w:highlight w:val="none"/>
          <w:lang w:val="en-US" w:eastAsia="zh-CN"/>
        </w:rPr>
        <w:t>质保期：</w:t>
      </w: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年</w:t>
      </w:r>
    </w:p>
    <w:p w14:paraId="7450911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1.5.3 </w:t>
      </w:r>
      <w:r>
        <w:rPr>
          <w:rFonts w:hint="eastAsia" w:ascii="宋体" w:hAnsi="宋体" w:eastAsia="宋体" w:cs="宋体"/>
          <w:sz w:val="24"/>
          <w:szCs w:val="24"/>
          <w:highlight w:val="none"/>
        </w:rPr>
        <w:t>履行地点：</w:t>
      </w:r>
      <w:r>
        <w:rPr>
          <w:rFonts w:hint="eastAsia" w:ascii="宋体" w:hAnsi="宋体" w:eastAsia="宋体" w:cs="宋体"/>
          <w:sz w:val="24"/>
          <w:szCs w:val="24"/>
          <w:highlight w:val="none"/>
          <w:u w:val="single"/>
        </w:rPr>
        <w:t>采购人指定地点</w:t>
      </w:r>
      <w:r>
        <w:rPr>
          <w:rFonts w:hint="eastAsia" w:ascii="宋体" w:hAnsi="宋体" w:eastAsia="宋体" w:cs="宋体"/>
          <w:sz w:val="24"/>
          <w:szCs w:val="24"/>
          <w:highlight w:val="none"/>
          <w:u w:val="none"/>
          <w:lang w:eastAsia="zh-CN"/>
        </w:rPr>
        <w:t>；</w:t>
      </w:r>
    </w:p>
    <w:p w14:paraId="4DF8A52A">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sz w:val="24"/>
          <w:szCs w:val="24"/>
          <w:u w:val="single"/>
        </w:rPr>
      </w:pPr>
      <w:bookmarkStart w:id="43" w:name="_Toc3232"/>
      <w:bookmarkStart w:id="44" w:name="_Toc24662"/>
      <w:bookmarkStart w:id="45" w:name="_Toc14539"/>
      <w:bookmarkStart w:id="46" w:name="_Toc3079"/>
      <w:bookmarkStart w:id="47" w:name="_Toc15869"/>
      <w:bookmarkStart w:id="48" w:name="_Toc18097"/>
      <w:bookmarkStart w:id="49" w:name="_Toc8586"/>
      <w:bookmarkStart w:id="50" w:name="_Toc5698"/>
      <w:bookmarkStart w:id="51" w:name="_Toc2375"/>
      <w:r>
        <w:rPr>
          <w:rFonts w:hint="eastAsia" w:ascii="宋体" w:hAnsi="宋体" w:eastAsia="宋体" w:cs="宋体"/>
          <w:b/>
          <w:sz w:val="24"/>
          <w:szCs w:val="24"/>
        </w:rPr>
        <w:t>1.6 违约责任</w:t>
      </w:r>
      <w:bookmarkEnd w:id="43"/>
      <w:bookmarkEnd w:id="44"/>
      <w:bookmarkEnd w:id="45"/>
      <w:bookmarkEnd w:id="46"/>
      <w:bookmarkEnd w:id="47"/>
      <w:bookmarkEnd w:id="48"/>
      <w:bookmarkEnd w:id="49"/>
      <w:bookmarkEnd w:id="50"/>
      <w:bookmarkEnd w:id="51"/>
    </w:p>
    <w:p w14:paraId="17D2317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1.6.1 除不可抗力外，如果乙方没有按照本合同约定的期限、地点和方式履行，那么甲方可要求乙方支付违约金，违约金按每迟延履行一日的应提供而未提供服务价格的</w:t>
      </w:r>
      <w:r>
        <w:rPr>
          <w:rFonts w:hint="eastAsia" w:ascii="宋体" w:hAnsi="宋体" w:eastAsia="宋体" w:cs="宋体"/>
          <w:sz w:val="24"/>
          <w:szCs w:val="24"/>
          <w:highlight w:val="none"/>
          <w:u w:val="single"/>
        </w:rPr>
        <w:t>0.5</w:t>
      </w:r>
      <w:r>
        <w:rPr>
          <w:rFonts w:hint="eastAsia" w:ascii="宋体" w:hAnsi="宋体" w:eastAsia="宋体" w:cs="宋体"/>
          <w:sz w:val="24"/>
          <w:szCs w:val="24"/>
          <w:highlight w:val="none"/>
        </w:rPr>
        <w:t>%计算，最高限额为本合同总价的</w:t>
      </w:r>
      <w:r>
        <w:rPr>
          <w:rFonts w:hint="eastAsia" w:ascii="宋体" w:hAnsi="宋体" w:eastAsia="宋体" w:cs="宋体"/>
          <w:sz w:val="24"/>
          <w:szCs w:val="24"/>
          <w:highlight w:val="none"/>
          <w:u w:val="single"/>
        </w:rPr>
        <w:t>5</w:t>
      </w:r>
      <w:r>
        <w:rPr>
          <w:rFonts w:hint="eastAsia" w:ascii="宋体" w:hAnsi="宋体" w:eastAsia="宋体" w:cs="宋体"/>
          <w:sz w:val="24"/>
          <w:szCs w:val="24"/>
          <w:highlight w:val="none"/>
        </w:rPr>
        <w:t>%；迟延履行的违约金计算数额达到前述最高限额之日起，甲方有权在要求乙方支付违约金的同时，书面通知乙方解除本合同；</w:t>
      </w:r>
    </w:p>
    <w:p w14:paraId="565D86B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1.6.2 除不可抗力外，如果甲方没有按照本合同约定的付款方式付款，那么乙方可要求甲方支付违约金，违约金按每迟延付款一日的应付而未付款的</w:t>
      </w:r>
      <w:r>
        <w:rPr>
          <w:rFonts w:hint="eastAsia" w:ascii="宋体" w:hAnsi="宋体" w:eastAsia="宋体" w:cs="宋体"/>
          <w:sz w:val="24"/>
          <w:szCs w:val="24"/>
          <w:highlight w:val="none"/>
          <w:u w:val="single"/>
        </w:rPr>
        <w:t>0.5</w:t>
      </w:r>
      <w:r>
        <w:rPr>
          <w:rFonts w:hint="eastAsia" w:ascii="宋体" w:hAnsi="宋体" w:eastAsia="宋体" w:cs="宋体"/>
          <w:sz w:val="24"/>
          <w:szCs w:val="24"/>
          <w:highlight w:val="none"/>
        </w:rPr>
        <w:t>%计算，最高限额为本合同总价的</w:t>
      </w:r>
      <w:r>
        <w:rPr>
          <w:rFonts w:hint="eastAsia" w:ascii="宋体" w:hAnsi="宋体" w:eastAsia="宋体" w:cs="宋体"/>
          <w:sz w:val="24"/>
          <w:szCs w:val="24"/>
          <w:highlight w:val="none"/>
          <w:u w:val="single"/>
        </w:rPr>
        <w:t>5</w:t>
      </w:r>
      <w:r>
        <w:rPr>
          <w:rFonts w:hint="eastAsia" w:ascii="宋体" w:hAnsi="宋体" w:eastAsia="宋体" w:cs="宋体"/>
          <w:sz w:val="24"/>
          <w:szCs w:val="24"/>
          <w:highlight w:val="none"/>
        </w:rPr>
        <w:t>%；迟延付款的违约金计算数额达到前述最高限额之日起，乙方有权在要求甲方支付违约金的同时，书面通知甲方解除本合同；</w:t>
      </w:r>
    </w:p>
    <w:p w14:paraId="20F689D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1.6.3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38E8A8B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1.6.4 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3326C8E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1.6.5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1F7B5F0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1.6.6 如果出现政府采购监督管理部门在处理投诉事项期间，书面通知甲方暂停采购活动的情形，或者询问或质疑事项可能影响成交结果的，导致甲方中止履行合同的情形，均不视为甲方违约。</w:t>
      </w:r>
    </w:p>
    <w:p w14:paraId="703D7004">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bookmarkStart w:id="52" w:name="_Toc9497"/>
      <w:bookmarkStart w:id="53" w:name="_Toc32454"/>
      <w:bookmarkStart w:id="54" w:name="_Toc29170"/>
      <w:bookmarkStart w:id="55" w:name="_Toc18683"/>
      <w:bookmarkStart w:id="56" w:name="_Toc30329"/>
      <w:bookmarkStart w:id="57" w:name="_Toc14537"/>
      <w:bookmarkStart w:id="58" w:name="_Toc26807"/>
      <w:bookmarkStart w:id="59" w:name="_Toc14686"/>
      <w:bookmarkStart w:id="60" w:name="_Toc30824"/>
      <w:r>
        <w:rPr>
          <w:rFonts w:hint="eastAsia" w:ascii="宋体" w:hAnsi="宋体" w:eastAsia="宋体" w:cs="宋体"/>
          <w:b/>
          <w:sz w:val="24"/>
          <w:szCs w:val="24"/>
        </w:rPr>
        <w:t>1.7 合同争议的解决</w:t>
      </w:r>
      <w:bookmarkEnd w:id="52"/>
      <w:bookmarkEnd w:id="53"/>
      <w:bookmarkEnd w:id="54"/>
      <w:bookmarkEnd w:id="55"/>
      <w:bookmarkEnd w:id="56"/>
      <w:bookmarkEnd w:id="57"/>
      <w:bookmarkEnd w:id="58"/>
      <w:bookmarkEnd w:id="59"/>
      <w:bookmarkEnd w:id="60"/>
    </w:p>
    <w:p w14:paraId="6D56DF6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本合同履行过程中发生的任何争议，双方当事人均可通过和解或者调解解决；不愿和解、调解或者和解、调解不成的，可以选择下列第</w:t>
      </w:r>
      <w:r>
        <w:rPr>
          <w:rFonts w:hint="eastAsia" w:ascii="宋体" w:hAnsi="宋体" w:eastAsia="宋体" w:cs="宋体"/>
          <w:sz w:val="24"/>
          <w:szCs w:val="24"/>
          <w:u w:val="single"/>
        </w:rPr>
        <w:t>1.7.2款</w:t>
      </w:r>
      <w:r>
        <w:rPr>
          <w:rFonts w:hint="eastAsia" w:ascii="宋体" w:hAnsi="宋体" w:eastAsia="宋体" w:cs="宋体"/>
          <w:sz w:val="24"/>
          <w:szCs w:val="24"/>
        </w:rPr>
        <w:t>方式解决：</w:t>
      </w:r>
    </w:p>
    <w:p w14:paraId="7E9BE4B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1.7.1 将争议提交</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仲裁委员会依申请仲裁时其现行有效的仲裁规则裁决；</w:t>
      </w:r>
    </w:p>
    <w:p w14:paraId="6D32BD9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1.7.2 向</w:t>
      </w:r>
      <w:r>
        <w:rPr>
          <w:rFonts w:hint="eastAsia" w:ascii="宋体" w:hAnsi="宋体" w:eastAsia="宋体" w:cs="宋体"/>
          <w:sz w:val="24"/>
          <w:szCs w:val="24"/>
          <w:u w:val="single"/>
        </w:rPr>
        <w:t xml:space="preserve">   合同签订地   </w:t>
      </w:r>
      <w:r>
        <w:rPr>
          <w:rFonts w:hint="eastAsia" w:ascii="宋体" w:hAnsi="宋体" w:eastAsia="宋体" w:cs="宋体"/>
          <w:sz w:val="24"/>
          <w:szCs w:val="24"/>
        </w:rPr>
        <w:t>人民法院起诉。</w:t>
      </w:r>
    </w:p>
    <w:p w14:paraId="39699AA9">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bookmarkStart w:id="61" w:name="_Toc58"/>
      <w:bookmarkStart w:id="62" w:name="_Toc16417"/>
      <w:bookmarkStart w:id="63" w:name="_Toc23784"/>
      <w:bookmarkStart w:id="64" w:name="_Toc26227"/>
      <w:bookmarkStart w:id="65" w:name="_Toc15827"/>
      <w:bookmarkStart w:id="66" w:name="_Toc1835"/>
      <w:bookmarkStart w:id="67" w:name="_Toc17829"/>
      <w:bookmarkStart w:id="68" w:name="_Toc12273"/>
      <w:bookmarkStart w:id="69" w:name="_Toc15436"/>
      <w:r>
        <w:rPr>
          <w:rFonts w:hint="eastAsia" w:ascii="宋体" w:hAnsi="宋体" w:eastAsia="宋体" w:cs="宋体"/>
          <w:b/>
          <w:sz w:val="24"/>
          <w:szCs w:val="24"/>
        </w:rPr>
        <w:t>1.8 合同生效</w:t>
      </w:r>
      <w:bookmarkEnd w:id="61"/>
      <w:bookmarkEnd w:id="62"/>
      <w:bookmarkEnd w:id="63"/>
      <w:bookmarkEnd w:id="64"/>
      <w:bookmarkEnd w:id="65"/>
      <w:bookmarkEnd w:id="66"/>
      <w:bookmarkEnd w:id="67"/>
      <w:bookmarkEnd w:id="68"/>
      <w:bookmarkEnd w:id="69"/>
    </w:p>
    <w:p w14:paraId="2684C92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本合同自双方当事人盖章或者签字时生效。</w:t>
      </w:r>
    </w:p>
    <w:p w14:paraId="7F39C0A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lang w:val="zh-CN"/>
        </w:rPr>
      </w:pPr>
    </w:p>
    <w:p w14:paraId="74119AC6">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sz w:val="24"/>
          <w:szCs w:val="24"/>
          <w:lang w:val="zh-CN"/>
        </w:rPr>
      </w:pPr>
      <w:r>
        <w:rPr>
          <w:rFonts w:hint="eastAsia" w:ascii="宋体" w:hAnsi="宋体" w:eastAsia="宋体" w:cs="宋体"/>
          <w:b/>
          <w:bCs/>
          <w:sz w:val="24"/>
          <w:szCs w:val="24"/>
          <w:lang w:val="zh-CN"/>
        </w:rPr>
        <w:t>甲方：                                   乙方：</w:t>
      </w:r>
    </w:p>
    <w:p w14:paraId="3C6D0CD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住所：                                   住所：</w:t>
      </w:r>
    </w:p>
    <w:p w14:paraId="4AE9B95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法定代表人或                             法定代表人</w:t>
      </w:r>
    </w:p>
    <w:p w14:paraId="1457316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 xml:space="preserve">授权代表（签字）：                       </w:t>
      </w:r>
      <w:r>
        <w:rPr>
          <w:rFonts w:hint="eastAsia" w:ascii="宋体" w:hAnsi="宋体" w:cs="宋体"/>
          <w:sz w:val="24"/>
          <w:szCs w:val="24"/>
          <w:lang w:val="en-US" w:eastAsia="zh-CN"/>
        </w:rPr>
        <w:t xml:space="preserve"> </w:t>
      </w:r>
      <w:bookmarkStart w:id="70" w:name="_GoBack"/>
      <w:bookmarkEnd w:id="70"/>
      <w:r>
        <w:rPr>
          <w:rFonts w:hint="eastAsia" w:ascii="宋体" w:hAnsi="宋体" w:eastAsia="宋体" w:cs="宋体"/>
          <w:sz w:val="24"/>
          <w:szCs w:val="24"/>
          <w:lang w:val="zh-CN"/>
        </w:rPr>
        <w:t>或授权代表（签字）:</w:t>
      </w:r>
    </w:p>
    <w:p w14:paraId="2A9DB9D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联系人：                                 联系人：</w:t>
      </w:r>
    </w:p>
    <w:p w14:paraId="2A65723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电话:                                    电话:</w:t>
      </w:r>
    </w:p>
    <w:p w14:paraId="77AEE0D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zh-CN"/>
        </w:rPr>
        <w:t>电子邮箱：                               电子邮箱：</w:t>
      </w:r>
    </w:p>
    <w:p w14:paraId="2F79E88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开户银行：                               开户银行：</w:t>
      </w:r>
    </w:p>
    <w:p w14:paraId="0DD1D00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开户名称：                               开户名称：</w:t>
      </w:r>
    </w:p>
    <w:p w14:paraId="4EF38CDC">
      <w:pPr>
        <w:keepNext w:val="0"/>
        <w:keepLines w:val="0"/>
        <w:pageBreakBefore w:val="0"/>
        <w:widowControl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szCs w:val="24"/>
        </w:rPr>
      </w:pPr>
      <w:r>
        <w:rPr>
          <w:rFonts w:hint="eastAsia" w:ascii="宋体" w:hAnsi="宋体" w:eastAsia="宋体" w:cs="宋体"/>
          <w:sz w:val="24"/>
          <w:szCs w:val="24"/>
        </w:rPr>
        <w:t>开户账号：</w:t>
      </w:r>
      <w:r>
        <w:rPr>
          <w:rFonts w:hint="eastAsia" w:ascii="宋体" w:hAnsi="宋体" w:eastAsia="宋体" w:cs="宋体"/>
          <w:sz w:val="24"/>
          <w:szCs w:val="24"/>
          <w:lang w:val="zh-CN"/>
        </w:rPr>
        <w:t xml:space="preserve">                               </w:t>
      </w:r>
      <w:r>
        <w:rPr>
          <w:rFonts w:hint="eastAsia" w:ascii="宋体" w:hAnsi="宋体" w:eastAsia="宋体" w:cs="宋体"/>
          <w:sz w:val="24"/>
          <w:szCs w:val="24"/>
        </w:rPr>
        <w:t>开户账号：</w:t>
      </w:r>
    </w:p>
    <w:p w14:paraId="3B0CD9E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F6726C"/>
    <w:rsid w:val="1CA05995"/>
    <w:rsid w:val="647943BD"/>
    <w:rsid w:val="78F67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
    <w:qFormat/>
    <w:uiPriority w:val="0"/>
    <w:pPr>
      <w:keepNext/>
      <w:keepLines/>
      <w:spacing w:before="10" w:after="10" w:line="240" w:lineRule="auto"/>
      <w:jc w:val="center"/>
      <w:outlineLvl w:val="0"/>
    </w:pPr>
    <w:rPr>
      <w:rFonts w:ascii="Times New Roman" w:hAnsi="Times New Roman"/>
      <w:b/>
      <w:bCs/>
      <w:kern w:val="44"/>
      <w:sz w:val="32"/>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te Heading"/>
    <w:basedOn w:val="1"/>
    <w:next w:val="1"/>
    <w:qFormat/>
    <w:uiPriority w:val="0"/>
    <w:pPr>
      <w:jc w:val="center"/>
    </w:pPr>
  </w:style>
  <w:style w:type="paragraph" w:styleId="4">
    <w:name w:val="Body Text"/>
    <w:basedOn w:val="1"/>
    <w:next w:val="1"/>
    <w:qFormat/>
    <w:uiPriority w:val="99"/>
    <w:pPr>
      <w:spacing w:after="120"/>
    </w:pPr>
    <w:rPr>
      <w:kern w:val="0"/>
      <w:sz w:val="20"/>
    </w:rPr>
  </w:style>
  <w:style w:type="character" w:customStyle="1" w:styleId="7">
    <w:name w:val="标题 1 字符"/>
    <w:link w:val="3"/>
    <w:qFormat/>
    <w:uiPriority w:val="0"/>
    <w:rPr>
      <w:rFonts w:ascii="Times New Roman" w:hAnsi="Times New Roman"/>
      <w:b/>
      <w:bCs/>
      <w:kern w:val="44"/>
      <w:sz w:val="32"/>
      <w:szCs w:val="44"/>
    </w:rPr>
  </w:style>
  <w:style w:type="paragraph" w:customStyle="1" w:styleId="8">
    <w:name w:val="纯文本1"/>
    <w:basedOn w:val="1"/>
    <w:qFormat/>
    <w:uiPriority w:val="0"/>
    <w:rPr>
      <w:rFonts w:ascii="宋体" w:hAnsi="Courier New"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1709</Words>
  <Characters>1839</Characters>
  <Lines>0</Lines>
  <Paragraphs>0</Paragraphs>
  <TotalTime>0</TotalTime>
  <ScaleCrop>false</ScaleCrop>
  <LinksUpToDate>false</LinksUpToDate>
  <CharactersWithSpaces>2357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2025-11-26T05:37:00Z</dcterms:created>
  <dc:creator>傑。</dc:creator>
  <cp:lastModifiedBy>傑。</cp:lastModifiedBy>
  <dcterms:modified xsi:type="dcterms:W3CDTF">2025-11-26T08:53:02Z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D6BF2850C5F94A96BECEAF3B3F8E4A54_11</vt:lpwstr>
  </property>
  <property fmtid="{D5CDD505-2E9C-101B-9397-08002B2CF9AE}" pid="4" name="KSOTemplateDocerSaveRecord">
    <vt:lpwstr>eyJoZGlkIjoiMWYyM2ZiYWNjNzEyZWY3MmUwNjczNGRhMjYzNTQ4OWYiLCJ1c2VySWQiOiI2NDk3MDkwMjIifQ==</vt:lpwstr>
  </property>
</Properties>
</file>