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版本号：SXWZ2025ZB-XASY-27820251126001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医废暂存点改造项目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SXWZ2025ZB-XASY-278</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医废暂存点改造项目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SXWZ2025ZB-XASY-278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医废暂存点改造项目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本工程为西安市第三医院医废暂存点改造项目，具体要求详见工程量清单。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采购包1（医废暂存点改造项目）：属于专门面向中小企业采购。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 ：具有独立承担民事责任能力的法人、其他组织或自然人，并出具合法有效的营业执照或事业单位法人证书等国家规定的相关证明，自然人参与的提供其身份证明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自响应文件递交截止时间前三个月内任意一个月已缴纳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3、税收缴纳证明：供应商提供自响应文件递交截止时间前三个月内任意一个月的纳税证明或完税证明，依法免税的单位应提供相关证明材料（以税款所属期为准）</w:t>
      </w:r>
    </w:p>
    <w:p>
      <w:pPr>
        <w:pStyle w:val="null3"/>
      </w:pPr>
      <w:r>
        <w:rPr>
          <w:rFonts w:ascii="仿宋_GB2312" w:hAnsi="仿宋_GB2312" w:cs="仿宋_GB2312" w:eastAsia="仿宋_GB2312"/>
        </w:rPr>
        <w:t>4、财务状况证明 ：提供经会计师事务所审计的2024年完整的财务审计报告，或在开标日期前六个月内其基本开户银行出具的资信证明（须提供基本户证明材料）；注：财会[2023]15号文《财政部 国务院国资委 金融监管总局关于加强审计报告查验工作的通知》会计师事务所应当主动向被审计单位提供附验证码的审计报告。即 2023 年及以后的审计报告需附验证码；</w:t>
      </w:r>
    </w:p>
    <w:p>
      <w:pPr>
        <w:pStyle w:val="null3"/>
      </w:pPr>
      <w:r>
        <w:rPr>
          <w:rFonts w:ascii="仿宋_GB2312" w:hAnsi="仿宋_GB2312" w:cs="仿宋_GB2312" w:eastAsia="仿宋_GB2312"/>
        </w:rPr>
        <w:t>5、书面声明 ：供应商应出具参加本次政府采购活动前3年内在经营活动中没有重大违法违纪，以及未被列入失信被执行人、重大税收违法案件当事人名单、政府采购严重违法失信行为记录名单的书面声明；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 ：非法定代表人参加投标，须提供法定代表人授权委托书及被授权人身份证及被授权人自响应文件递交截止时间前三个月内任意一个月的社保缴纳证明；法定代表人参加投标时,须提供法定代表人身份证；</w:t>
      </w:r>
    </w:p>
    <w:p>
      <w:pPr>
        <w:pStyle w:val="null3"/>
      </w:pPr>
      <w:r>
        <w:rPr>
          <w:rFonts w:ascii="仿宋_GB2312" w:hAnsi="仿宋_GB2312" w:cs="仿宋_GB2312" w:eastAsia="仿宋_GB2312"/>
        </w:rPr>
        <w:t>7、供应商非采购人单位职工及家属投资开办声明 ：供应商非采购人单位职工及家属投资开办，其法人、股东和经营管理人员非采购人单位职工及家属。</w:t>
      </w:r>
    </w:p>
    <w:p>
      <w:pPr>
        <w:pStyle w:val="null3"/>
      </w:pPr>
      <w:r>
        <w:rPr>
          <w:rFonts w:ascii="仿宋_GB2312" w:hAnsi="仿宋_GB2312" w:cs="仿宋_GB2312" w:eastAsia="仿宋_GB2312"/>
        </w:rPr>
        <w:t>8、承诺书 ：单位负责人为同一人或者存在直接控股、管理关系的不同供应商，不得参加同一合同项下的政府采购活动。</w:t>
      </w:r>
    </w:p>
    <w:p>
      <w:pPr>
        <w:pStyle w:val="null3"/>
      </w:pPr>
      <w:r>
        <w:rPr>
          <w:rFonts w:ascii="仿宋_GB2312" w:hAnsi="仿宋_GB2312" w:cs="仿宋_GB2312" w:eastAsia="仿宋_GB2312"/>
        </w:rPr>
        <w:t>9、资质证书 ：具备建设行政主管部门颁发的建筑工程施工总承包三级及以上资质或建筑装饰装修工程专业承包二级及以上资质，同时具有合格有效的安全生产许可证。</w:t>
      </w:r>
    </w:p>
    <w:p>
      <w:pPr>
        <w:pStyle w:val="null3"/>
      </w:pPr>
      <w:r>
        <w:rPr>
          <w:rFonts w:ascii="仿宋_GB2312" w:hAnsi="仿宋_GB2312" w:cs="仿宋_GB2312" w:eastAsia="仿宋_GB2312"/>
        </w:rPr>
        <w:t>10、项目经理 ：拟派项目经理须具有建筑工程专业二级及以上注册建造师证书和有效的安全生产考核证书（B证）且无在建工程、无不良记录（提供无在建工程、无不良记录承诺书）并提供拟派项目经理在本单位自开标前一年内任意六个月的社保缴纳证明。</w:t>
      </w:r>
    </w:p>
    <w:p>
      <w:pPr>
        <w:pStyle w:val="null3"/>
      </w:pPr>
      <w:r>
        <w:rPr>
          <w:rFonts w:ascii="仿宋_GB2312" w:hAnsi="仿宋_GB2312" w:cs="仿宋_GB2312" w:eastAsia="仿宋_GB2312"/>
        </w:rPr>
        <w:t>11、查询截图 ：省外企业须在陕西省建筑市场监管与诚信信息一体化平台企业库可查询（附完整的查询结果截图加盖供应商公章）。</w:t>
      </w:r>
    </w:p>
    <w:p>
      <w:pPr>
        <w:pStyle w:val="null3"/>
      </w:pPr>
      <w:r>
        <w:rPr>
          <w:rFonts w:ascii="仿宋_GB2312" w:hAnsi="仿宋_GB2312" w:cs="仿宋_GB2312" w:eastAsia="仿宋_GB2312"/>
        </w:rPr>
        <w:t>12、本项目不接受联合体磋商 ：本项目不接受联合体磋商；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西安市未央区凤城三路东段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黄茜 陈先锋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029-88319689-8003/8005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采购包1：899,468.23元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代理服务费收费标准：参照国家计委关于《招标代理服务收费管理暂行办法》（计价格[2002]1980号）、《国家发展改革委办公厅关于招标代理服务收费有关问题的通知》（发改价格[2003]857号）下浮20%收取。 成交供应商按以下账户缴纳服务费（对公转账）： 户名:陕西万泽招标有限公司 账号:2110 1158 0000 0154 89 开户行:西安银行朝阳门支行 转账备注：三院-278服务费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符合国家现行有关施工质量验收规范“合格”要求。符合施工质量验收标准以及国家、省、市、行业及地方标准等相关规范要求。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联系人：黄茜 陈先锋</w:t>
      </w:r>
    </w:p>
    <w:p>
      <w:pPr>
        <w:pStyle w:val="null3"/>
      </w:pPr>
      <w:r>
        <w:rPr>
          <w:rFonts w:ascii="仿宋_GB2312" w:hAnsi="仿宋_GB2312" w:cs="仿宋_GB2312" w:eastAsia="仿宋_GB2312"/>
        </w:rPr>
        <w:t>联系电话：029-88319689-8003/8005</w:t>
      </w:r>
    </w:p>
    <w:p>
      <w:pPr>
        <w:pStyle w:val="null3"/>
      </w:pPr>
      <w:r>
        <w:rPr>
          <w:rFonts w:ascii="仿宋_GB2312" w:hAnsi="仿宋_GB2312" w:cs="仿宋_GB2312" w:eastAsia="仿宋_GB2312"/>
        </w:rPr>
        <w:t>地址：西安市高新区唐延路旺座现代城C座25楼2502室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899,468.23</w:t>
      </w:r>
    </w:p>
    <w:p>
      <w:pPr>
        <w:pStyle w:val="null3"/>
      </w:pPr>
      <w:r>
        <w:rPr>
          <w:rFonts w:ascii="仿宋_GB2312" w:hAnsi="仿宋_GB2312" w:cs="仿宋_GB2312" w:eastAsia="仿宋_GB2312"/>
        </w:rPr>
        <w:t>采购包最高限价（元）: 899,468.23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医废暂存点改造项目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899,468.23</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标的名称：医废暂存点改造项目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ind w:firstLine="400"/>
            </w:pPr>
            <w:r>
              <w:rPr>
                <w:rFonts w:ascii="仿宋_GB2312" w:hAnsi="仿宋_GB2312" w:cs="仿宋_GB2312" w:eastAsia="仿宋_GB2312"/>
              </w:rPr>
              <w:t>该工程位于西安市未央区凤城三路东段</w:t>
            </w:r>
            <w:r>
              <w:rPr>
                <w:rFonts w:ascii="仿宋_GB2312" w:hAnsi="仿宋_GB2312" w:cs="仿宋_GB2312" w:eastAsia="仿宋_GB2312"/>
              </w:rPr>
              <w:t>10号西安市第三医院二期污水处理站西侧。现医废暂存点受层高影响存在二次转运，违反医疗废物管理要求，现对医废暂存点进行改造。本次改造涉及建筑面积为435.46平米，地上一层，无地下室，建筑高度4.2米，包括特殊废物区、感染物垃圾、损伤物垃圾、停车区、洗车区、配套的办公辅助用房及室外沥青路面等。</w:t>
            </w:r>
          </w:p>
          <w:p>
            <w:pPr>
              <w:pStyle w:val="null3"/>
            </w:pPr>
            <w:r>
              <w:drawing>
                <wp:inline distT="0" distR="0" distB="0" distL="0">
                  <wp:extent cx="1621155" cy="70164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701646"/>
                          </a:xfrm>
                          <a:prstGeom prst="rect">
                            <a:avLst/>
                          </a:prstGeom>
                        </pic:spPr>
                      </pic:pic>
                    </a:graphicData>
                  </a:graphic>
                </wp:inline>
              </w:drawing>
            </w:r>
          </w:p>
          <w:p>
            <w:pPr>
              <w:pStyle w:val="null3"/>
            </w:pPr>
            <w:r>
              <w:rPr>
                <w:rFonts w:ascii="仿宋_GB2312" w:hAnsi="仿宋_GB2312" w:cs="仿宋_GB2312" w:eastAsia="仿宋_GB2312"/>
                <w:b/>
              </w:rPr>
              <w:t>二、工程内容和施工地点、计划工期、缺陷责任期、质量保修期</w:t>
            </w:r>
          </w:p>
          <w:p>
            <w:pPr>
              <w:pStyle w:val="null3"/>
            </w:pPr>
            <w:r>
              <w:rPr>
                <w:rFonts w:ascii="仿宋_GB2312" w:hAnsi="仿宋_GB2312" w:cs="仿宋_GB2312" w:eastAsia="仿宋_GB2312"/>
              </w:rPr>
              <w:t>（一）工程内容：本项目主要将</w:t>
            </w:r>
            <w:r>
              <w:rPr>
                <w:rFonts w:ascii="仿宋_GB2312" w:hAnsi="仿宋_GB2312" w:cs="仿宋_GB2312" w:eastAsia="仿宋_GB2312"/>
              </w:rPr>
              <w:t>二期污水处理站西侧改造为医废暂存点</w:t>
            </w:r>
            <w:r>
              <w:rPr>
                <w:rFonts w:ascii="仿宋_GB2312" w:hAnsi="仿宋_GB2312" w:cs="仿宋_GB2312" w:eastAsia="仿宋_GB2312"/>
              </w:rPr>
              <w:t>。</w:t>
            </w:r>
            <w:r>
              <w:rPr>
                <w:rFonts w:ascii="仿宋_GB2312" w:hAnsi="仿宋_GB2312" w:cs="仿宋_GB2312" w:eastAsia="仿宋_GB2312"/>
              </w:rPr>
              <w:t>施工内容</w:t>
            </w:r>
            <w:r>
              <w:rPr>
                <w:rFonts w:ascii="仿宋_GB2312" w:hAnsi="仿宋_GB2312" w:cs="仿宋_GB2312" w:eastAsia="仿宋_GB2312"/>
              </w:rPr>
              <w:t>包含</w:t>
            </w:r>
            <w:r>
              <w:rPr>
                <w:rFonts w:ascii="仿宋_GB2312" w:hAnsi="仿宋_GB2312" w:cs="仿宋_GB2312" w:eastAsia="仿宋_GB2312"/>
              </w:rPr>
              <w:t>：</w:t>
            </w:r>
            <w:r>
              <w:rPr>
                <w:rFonts w:ascii="仿宋_GB2312" w:hAnsi="仿宋_GB2312" w:cs="仿宋_GB2312" w:eastAsia="仿宋_GB2312"/>
              </w:rPr>
              <w:t>(详见平面图)内的:包含建筑、给排水、暖通、电气等专业的配套内容。</w:t>
            </w:r>
          </w:p>
          <w:p>
            <w:pPr>
              <w:pStyle w:val="null3"/>
            </w:pP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工程地点：</w:t>
            </w:r>
            <w:r>
              <w:rPr>
                <w:rFonts w:ascii="仿宋_GB2312" w:hAnsi="仿宋_GB2312" w:cs="仿宋_GB2312" w:eastAsia="仿宋_GB2312"/>
              </w:rPr>
              <w:t>西安市未央区凤城三路东段</w:t>
            </w:r>
            <w:r>
              <w:rPr>
                <w:rFonts w:ascii="仿宋_GB2312" w:hAnsi="仿宋_GB2312" w:cs="仿宋_GB2312" w:eastAsia="仿宋_GB2312"/>
              </w:rPr>
              <w:t>10号西安市第三医院</w:t>
            </w:r>
            <w:r>
              <w:rPr>
                <w:rFonts w:ascii="仿宋_GB2312" w:hAnsi="仿宋_GB2312" w:cs="仿宋_GB2312" w:eastAsia="仿宋_GB2312"/>
              </w:rPr>
              <w:t>。</w:t>
            </w:r>
          </w:p>
          <w:p>
            <w:pPr>
              <w:pStyle w:val="null3"/>
            </w:pP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计划工期：自进场之日起</w:t>
            </w:r>
            <w:r>
              <w:rPr>
                <w:rFonts w:ascii="仿宋_GB2312" w:hAnsi="仿宋_GB2312" w:cs="仿宋_GB2312" w:eastAsia="仿宋_GB2312"/>
              </w:rPr>
              <w:t>90</w:t>
            </w:r>
            <w:r>
              <w:rPr>
                <w:rFonts w:ascii="仿宋_GB2312" w:hAnsi="仿宋_GB2312" w:cs="仿宋_GB2312" w:eastAsia="仿宋_GB2312"/>
              </w:rPr>
              <w:t>个日历日内竣工。</w:t>
            </w:r>
          </w:p>
          <w:p>
            <w:pPr>
              <w:pStyle w:val="null3"/>
            </w:pPr>
            <w:r>
              <w:rPr>
                <w:rFonts w:ascii="仿宋_GB2312" w:hAnsi="仿宋_GB2312" w:cs="仿宋_GB2312" w:eastAsia="仿宋_GB2312"/>
              </w:rPr>
              <w:t>（四）</w:t>
            </w:r>
            <w:r>
              <w:rPr>
                <w:rFonts w:ascii="仿宋_GB2312" w:hAnsi="仿宋_GB2312" w:cs="仿宋_GB2312" w:eastAsia="仿宋_GB2312"/>
              </w:rPr>
              <w:t>质量保修期</w:t>
            </w:r>
            <w:r>
              <w:rPr>
                <w:rFonts w:ascii="仿宋_GB2312" w:hAnsi="仿宋_GB2312" w:cs="仿宋_GB2312" w:eastAsia="仿宋_GB2312"/>
              </w:rPr>
              <w:t>：</w:t>
            </w:r>
            <w:r>
              <w:rPr>
                <w:rFonts w:ascii="仿宋_GB2312" w:hAnsi="仿宋_GB2312" w:cs="仿宋_GB2312" w:eastAsia="仿宋_GB2312"/>
              </w:rPr>
              <w:t>自项目验收后</w:t>
            </w:r>
            <w:r>
              <w:rPr>
                <w:rFonts w:ascii="仿宋_GB2312" w:hAnsi="仿宋_GB2312" w:cs="仿宋_GB2312" w:eastAsia="仿宋_GB2312"/>
              </w:rPr>
              <w:t>2年</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五</w:t>
            </w:r>
            <w:r>
              <w:rPr>
                <w:rFonts w:ascii="仿宋_GB2312" w:hAnsi="仿宋_GB2312" w:cs="仿宋_GB2312" w:eastAsia="仿宋_GB2312"/>
              </w:rPr>
              <w:t>）缺陷责任期：</w:t>
            </w:r>
            <w:r>
              <w:rPr>
                <w:rFonts w:ascii="仿宋_GB2312" w:hAnsi="仿宋_GB2312" w:cs="仿宋_GB2312" w:eastAsia="仿宋_GB2312"/>
              </w:rPr>
              <w:t>2年。</w:t>
            </w:r>
          </w:p>
          <w:p>
            <w:pPr>
              <w:pStyle w:val="null3"/>
            </w:pPr>
            <w:r>
              <w:rPr>
                <w:rFonts w:ascii="仿宋_GB2312" w:hAnsi="仿宋_GB2312" w:cs="仿宋_GB2312" w:eastAsia="仿宋_GB2312"/>
                <w:b/>
              </w:rPr>
              <w:t>三、工程量清单和计价依据（可询问设计单位或评审单位）</w:t>
            </w:r>
          </w:p>
          <w:p>
            <w:pPr>
              <w:pStyle w:val="null3"/>
            </w:pPr>
            <w:r>
              <w:rPr>
                <w:rFonts w:ascii="仿宋_GB2312" w:hAnsi="仿宋_GB2312" w:cs="仿宋_GB2312" w:eastAsia="仿宋_GB2312"/>
              </w:rPr>
              <w:t>1.陕西省现代建筑设计研究院有限公司设计的西安市第三医院改造项目</w:t>
            </w:r>
            <w:r>
              <w:rPr>
                <w:rFonts w:ascii="仿宋_GB2312" w:hAnsi="仿宋_GB2312" w:cs="仿宋_GB2312" w:eastAsia="仿宋_GB2312"/>
              </w:rPr>
              <w:t>医废暂存点改造项目</w:t>
            </w:r>
            <w:r>
              <w:rPr>
                <w:rFonts w:ascii="仿宋_GB2312" w:hAnsi="仿宋_GB2312" w:cs="仿宋_GB2312" w:eastAsia="仿宋_GB2312"/>
              </w:rPr>
              <w:t>项目的施工图纸（出图日期</w:t>
            </w:r>
            <w:r>
              <w:rPr>
                <w:rFonts w:ascii="仿宋_GB2312" w:hAnsi="仿宋_GB2312" w:cs="仿宋_GB2312" w:eastAsia="仿宋_GB2312"/>
              </w:rPr>
              <w:t>2025年04月）；</w:t>
            </w:r>
          </w:p>
          <w:p>
            <w:pPr>
              <w:pStyle w:val="null3"/>
            </w:pPr>
            <w:r>
              <w:rPr>
                <w:rFonts w:ascii="仿宋_GB2312" w:hAnsi="仿宋_GB2312" w:cs="仿宋_GB2312" w:eastAsia="仿宋_GB2312"/>
              </w:rPr>
              <w:t>2.《陕西省建设工程工程量清单计价计算标准（2025）》《陕西省房屋建筑与装饰工程基价表（2025）》《陕西省通用安装工程基价表（2025）》</w:t>
            </w:r>
          </w:p>
          <w:p>
            <w:pPr>
              <w:pStyle w:val="null3"/>
            </w:pPr>
            <w:r>
              <w:rPr>
                <w:rFonts w:ascii="仿宋_GB2312" w:hAnsi="仿宋_GB2312" w:cs="仿宋_GB2312" w:eastAsia="仿宋_GB2312"/>
              </w:rPr>
              <w:t>3.主要材料价格执行陕西省2025年第9期《陕西工程造价管理信息（材料信息价）》及当地市场价；</w:t>
            </w:r>
          </w:p>
          <w:p>
            <w:pPr>
              <w:pStyle w:val="null3"/>
            </w:pPr>
            <w:r>
              <w:rPr>
                <w:rFonts w:ascii="仿宋_GB2312" w:hAnsi="仿宋_GB2312" w:cs="仿宋_GB2312" w:eastAsia="仿宋_GB2312"/>
              </w:rPr>
              <w:t>4.正常施工组织设计及施工方法；</w:t>
            </w:r>
          </w:p>
          <w:p>
            <w:pPr>
              <w:pStyle w:val="null3"/>
            </w:pPr>
            <w:r>
              <w:rPr>
                <w:rFonts w:ascii="仿宋_GB2312" w:hAnsi="仿宋_GB2312" w:cs="仿宋_GB2312" w:eastAsia="仿宋_GB2312"/>
              </w:rPr>
              <w:t>5.施工图中采用的相关标准图集、施工规范及验收规范；</w:t>
            </w:r>
          </w:p>
          <w:p>
            <w:pPr>
              <w:pStyle w:val="null3"/>
            </w:pPr>
            <w:r>
              <w:rPr>
                <w:rFonts w:ascii="仿宋_GB2312" w:hAnsi="仿宋_GB2312" w:cs="仿宋_GB2312" w:eastAsia="仿宋_GB2312"/>
              </w:rPr>
              <w:t>6.本项目答疑文件；</w:t>
            </w:r>
          </w:p>
          <w:p>
            <w:pPr>
              <w:pStyle w:val="null3"/>
            </w:pPr>
            <w:r>
              <w:rPr>
                <w:rFonts w:ascii="仿宋_GB2312" w:hAnsi="仿宋_GB2312" w:cs="仿宋_GB2312" w:eastAsia="仿宋_GB2312"/>
              </w:rPr>
              <w:t>7.其他相关资料。</w:t>
            </w:r>
          </w:p>
          <w:p>
            <w:pPr>
              <w:pStyle w:val="null3"/>
            </w:pPr>
            <w:r>
              <w:rPr>
                <w:rFonts w:ascii="仿宋_GB2312" w:hAnsi="仿宋_GB2312" w:cs="仿宋_GB2312" w:eastAsia="仿宋_GB2312"/>
              </w:rPr>
              <w:t>8.本工程量清单编制采用广联达云计价平台GCCP7.0（7.5000.23.1）</w:t>
            </w:r>
          </w:p>
          <w:p>
            <w:pPr>
              <w:pStyle w:val="null3"/>
            </w:pPr>
            <w:r>
              <w:rPr>
                <w:rFonts w:ascii="仿宋_GB2312" w:hAnsi="仿宋_GB2312" w:cs="仿宋_GB2312" w:eastAsia="仿宋_GB2312"/>
              </w:rPr>
              <w:t>四、施工要求（可选）</w:t>
            </w:r>
          </w:p>
          <w:p>
            <w:pPr>
              <w:pStyle w:val="null3"/>
              <w:ind w:firstLine="400"/>
            </w:pPr>
            <w:r>
              <w:rPr>
                <w:rFonts w:ascii="仿宋_GB2312" w:hAnsi="仿宋_GB2312" w:cs="仿宋_GB2312" w:eastAsia="仿宋_GB2312"/>
              </w:rPr>
              <w:t>在施工期间，中标供应商必须注意</w:t>
            </w:r>
            <w:r>
              <w:rPr>
                <w:rFonts w:ascii="仿宋_GB2312" w:hAnsi="仿宋_GB2312" w:cs="仿宋_GB2312" w:eastAsia="仿宋_GB2312"/>
              </w:rPr>
              <w:t>噪声污染、水污染、空气粉尘污染、施工垃圾处理问题，门诊正常投入使用，应考虑医院的工作时间、繁忙时段和患者休息时间的需要，合理安排施工进度计划，且需采取合理保护措施进行噪声控制、粉尘控制、废水排放、施工垃圾等处理，以减少对医院运营的干扰。</w:t>
            </w:r>
          </w:p>
          <w:p>
            <w:pPr>
              <w:pStyle w:val="null3"/>
              <w:ind w:firstLine="400"/>
            </w:pPr>
            <w:r>
              <w:rPr>
                <w:rFonts w:ascii="仿宋_GB2312" w:hAnsi="仿宋_GB2312" w:cs="仿宋_GB2312" w:eastAsia="仿宋_GB2312"/>
              </w:rPr>
              <w:t>同时应注意</w:t>
            </w:r>
            <w:r>
              <w:rPr>
                <w:rFonts w:ascii="仿宋_GB2312" w:hAnsi="仿宋_GB2312" w:cs="仿宋_GB2312" w:eastAsia="仿宋_GB2312"/>
              </w:rPr>
              <w:t>院内人员安全，加强安全措施，并对施工人员进行安全教育。施工人员必须持证上岗。因采购人工作的特殊性，要求中标供应商在施工中做到封闭性施工。</w:t>
            </w:r>
          </w:p>
          <w:p>
            <w:pPr>
              <w:pStyle w:val="null3"/>
            </w:pPr>
            <w:r>
              <w:rPr>
                <w:rFonts w:ascii="仿宋_GB2312" w:hAnsi="仿宋_GB2312" w:cs="仿宋_GB2312" w:eastAsia="仿宋_GB2312"/>
              </w:rPr>
              <w:t>五、商务要求（如合同价款及结算方式等）</w:t>
            </w:r>
          </w:p>
          <w:p>
            <w:pPr>
              <w:pStyle w:val="null3"/>
              <w:ind w:firstLine="400"/>
            </w:pPr>
            <w:r>
              <w:rPr>
                <w:rFonts w:ascii="仿宋_GB2312" w:hAnsi="仿宋_GB2312" w:cs="仿宋_GB2312" w:eastAsia="仿宋_GB2312"/>
              </w:rPr>
              <w:t>按照相关规范及相关要求完成全部施工内容，实际结算由甲方委托的第三方审计公司，按照本工程所发生的实际工程量审计后所认定的价格进行结算。合同价款包括</w:t>
            </w:r>
            <w:r>
              <w:rPr>
                <w:rFonts w:ascii="仿宋_GB2312" w:hAnsi="仿宋_GB2312" w:cs="仿宋_GB2312" w:eastAsia="仿宋_GB2312"/>
              </w:rPr>
              <w:t>采购</w:t>
            </w:r>
            <w:r>
              <w:rPr>
                <w:rFonts w:ascii="仿宋_GB2312" w:hAnsi="仿宋_GB2312" w:cs="仿宋_GB2312" w:eastAsia="仿宋_GB2312"/>
              </w:rPr>
              <w:t>文件、响应文件的全部内容以及配套设施、运输、装卸、安全施工及其他全部费用。</w:t>
            </w:r>
          </w:p>
          <w:p>
            <w:pPr>
              <w:pStyle w:val="null3"/>
              <w:ind w:firstLine="400"/>
            </w:pPr>
            <w:r>
              <w:rPr>
                <w:rFonts w:ascii="仿宋_GB2312" w:hAnsi="仿宋_GB2312" w:cs="仿宋_GB2312" w:eastAsia="仿宋_GB2312"/>
              </w:rPr>
              <w:t>付款方式：工程质保期为自工程竣工验收合格之日起贰年，待所有施工项目全部完成、工程竣工验收合格后，支付本工程实际工程量结算价格的</w:t>
            </w:r>
            <w:r>
              <w:rPr>
                <w:rFonts w:ascii="仿宋_GB2312" w:hAnsi="仿宋_GB2312" w:cs="仿宋_GB2312" w:eastAsia="仿宋_GB2312"/>
              </w:rPr>
              <w:t>97%，其余3%尾款自验收合格之日起贰年内无质量及服务问题，</w:t>
            </w:r>
            <w:r>
              <w:rPr>
                <w:rFonts w:ascii="仿宋_GB2312" w:hAnsi="仿宋_GB2312" w:cs="仿宋_GB2312" w:eastAsia="仿宋_GB2312"/>
              </w:rPr>
              <w:t>20</w:t>
            </w:r>
            <w:r>
              <w:rPr>
                <w:rFonts w:ascii="仿宋_GB2312" w:hAnsi="仿宋_GB2312" w:cs="仿宋_GB2312" w:eastAsia="仿宋_GB2312"/>
              </w:rPr>
              <w:t>个</w:t>
            </w:r>
            <w:r>
              <w:rPr>
                <w:rFonts w:ascii="仿宋_GB2312" w:hAnsi="仿宋_GB2312" w:cs="仿宋_GB2312" w:eastAsia="仿宋_GB2312"/>
              </w:rPr>
              <w:t>日历</w:t>
            </w:r>
            <w:r>
              <w:rPr>
                <w:rFonts w:ascii="仿宋_GB2312" w:hAnsi="仿宋_GB2312" w:cs="仿宋_GB2312" w:eastAsia="仿宋_GB2312"/>
              </w:rPr>
              <w:t>日内一次性无息付清。</w:t>
            </w:r>
          </w:p>
          <w:p>
            <w:pPr>
              <w:pStyle w:val="null3"/>
            </w:pPr>
            <w:r>
              <w:rPr>
                <w:rFonts w:ascii="仿宋_GB2312" w:hAnsi="仿宋_GB2312" w:cs="仿宋_GB2312" w:eastAsia="仿宋_GB2312"/>
              </w:rPr>
              <w:t>六、其他</w:t>
            </w:r>
          </w:p>
          <w:p>
            <w:pPr>
              <w:pStyle w:val="null3"/>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）质量验收标准或规范</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）违约责任</w:t>
            </w:r>
          </w:p>
          <w:p>
            <w:pPr>
              <w:pStyle w:val="null3"/>
            </w:pPr>
            <w:r>
              <w:rPr>
                <w:rFonts w:ascii="仿宋_GB2312" w:hAnsi="仿宋_GB2312" w:cs="仿宋_GB2312" w:eastAsia="仿宋_GB2312"/>
                <w:sz w:val="21"/>
              </w:rPr>
              <w:t>一般与合同款项的支付相关，注意不要超出《</w:t>
            </w:r>
            <w:r>
              <w:rPr>
                <w:rFonts w:ascii="仿宋_GB2312" w:hAnsi="仿宋_GB2312" w:cs="仿宋_GB2312" w:eastAsia="仿宋_GB2312"/>
                <w:sz w:val="21"/>
              </w:rPr>
              <w:t>中华人民共和国</w:t>
            </w:r>
            <w:r>
              <w:rPr>
                <w:rFonts w:ascii="仿宋_GB2312" w:hAnsi="仿宋_GB2312" w:cs="仿宋_GB2312" w:eastAsia="仿宋_GB2312"/>
                <w:sz w:val="21"/>
              </w:rPr>
              <w:t>民法典》中对于违约的责任上限。</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符合施工质量验收标准以及国家、省、市、行业及地方标准等相关规范要求。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1.供应商需要在线提交所有通过电子化交易平台实施的政府采购项目的投标文件，同时，线下提交响应 文件正本 壹 份、副本 贰份。若电子投标文件 与纸质投标文件不一致的，以线上提交的电子投标文件为准。 1.线下提交投标文件地点：西安市高新区唐延路旺座现代城C座25楼2502室 2.联系电话：029-88319689-8003/8005;邮箱：sxwzzb04@163.com 2.弃标须知： 根据市财函｛2021｝431号文第16条规定：供应商登记免费领取采购文件的，如不参与项目投标，应在递交投标（或响应）文件截止时间一日前以书面形式告知采购代理机构（自拟弃标函加盖公章，发送扫描件至sxwzzb04@163.com）。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响应文件递交截止时间前三个月内任意一个月已缴纳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供应商提供自响应文件递交截止时间前三个月内任意一个月的纳税证明或完税证明，依法免税的单位应提供相关证明材料（以税款所属期为准）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提供经会计师事务所审计的2024年完整的财务审计报告，或在开标日期前六个月内其基本开户银行出具的资信证明（须提供基本户证明材料）；注：财会[2023]15号文《财政部 国务院国资委 金融监管总局关于加强审计报告查验工作的通知》会计师事务所应当主动向被审计单位提供附验证码的审计报告。即 2023 年及以后的审计报告需附验证码；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非法定代表人参加投标，须提供法定代表人授权委托书及被授权人身份证及被授权人自响应文件递交截止时间前三个月内任意一个月的社保缴纳证明；法定代表人参加投标时,须提供法定代表人身份证；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供应商非采购人单位职工及家属投资开办声明</w:t>
            </w:r>
          </w:p>
        </w:tc>
        <w:tc>
          <w:tcPr>
            <w:tcW w:type="dxa" w:w="3322"/>
          </w:tcPr>
          <w:p>
            <w:pPr>
              <w:pStyle w:val="null3"/>
            </w:pPr>
            <w:r>
              <w:rPr>
                <w:rFonts w:ascii="仿宋_GB2312" w:hAnsi="仿宋_GB2312" w:cs="仿宋_GB2312" w:eastAsia="仿宋_GB2312"/>
              </w:rPr>
              <w:t>供应商非采购人单位职工及家属投资开办，其法人、股东和经营管理人员非采购人单位职工及家属。</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具备建设行政主管部门颁发的建筑工程施工总承包三级及以上资质或建筑装饰装修工程专业承包二级及以上资质，同时具有合格有效的安全生产许可证。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专业二级及以上注册建造师证书和有效的安全生产考核证书（B证）且无在建工程、无不良记录（提供无在建工程、无不良记录承诺书）并提供拟派项目经理在本单位自开标前一年内任意六个月的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查询截图</w:t>
            </w:r>
          </w:p>
        </w:tc>
        <w:tc>
          <w:tcPr>
            <w:tcW w:type="dxa" w:w="3322"/>
          </w:tcPr>
          <w:p>
            <w:pPr>
              <w:pStyle w:val="null3"/>
            </w:pPr>
            <w:r>
              <w:rPr>
                <w:rFonts w:ascii="仿宋_GB2312" w:hAnsi="仿宋_GB2312" w:cs="仿宋_GB2312" w:eastAsia="仿宋_GB2312"/>
              </w:rPr>
              <w:t>省外企业须在陕西省建筑市场监管与诚信信息一体化平台企业库可查询（附完整的查询结果截图加盖供应商公章）。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与资质证书一致</w:t>
            </w:r>
          </w:p>
        </w:tc>
        <w:tc>
          <w:tcPr>
            <w:tcW w:type="dxa" w:w="1661"/>
          </w:tcPr>
          <w:p>
            <w:pPr>
              <w:pStyle w:val="null3"/>
            </w:pPr>
            <w:r>
              <w:rPr>
                <w:rFonts w:ascii="仿宋_GB2312" w:hAnsi="仿宋_GB2312" w:cs="仿宋_GB2312" w:eastAsia="仿宋_GB2312"/>
              </w:rPr>
              <w:t>响应文件封面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技术方案.docx 业绩一览表.docx 已标价工程量清单 中小企业声明函 商务主要条款响应偏差表.docx 资格证明文件.docx 供应商承诺书.docx 响应文件封面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同时满足以下条款：（1）货币单位符合采购文件要求（2）报价符合唯一性要求（3）未超出采购预算或最高限价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实质性条款、商务要求、合同条款响应</w:t>
            </w:r>
          </w:p>
        </w:tc>
        <w:tc>
          <w:tcPr>
            <w:tcW w:type="dxa" w:w="3322"/>
          </w:tcPr>
          <w:p>
            <w:pPr>
              <w:pStyle w:val="null3"/>
            </w:pPr>
            <w:r>
              <w:rPr>
                <w:rFonts w:ascii="仿宋_GB2312" w:hAnsi="仿宋_GB2312" w:cs="仿宋_GB2312" w:eastAsia="仿宋_GB2312"/>
              </w:rPr>
              <w:t>完全响应，不能有采购人不能接受的附加条件</w:t>
            </w:r>
          </w:p>
        </w:tc>
        <w:tc>
          <w:tcPr>
            <w:tcW w:type="dxa" w:w="1661"/>
          </w:tcPr>
          <w:p>
            <w:pPr>
              <w:pStyle w:val="null3"/>
            </w:pPr>
            <w:r>
              <w:rPr>
                <w:rFonts w:ascii="仿宋_GB2312" w:hAnsi="仿宋_GB2312" w:cs="仿宋_GB2312" w:eastAsia="仿宋_GB2312"/>
              </w:rPr>
              <w:t>商务主要条款响应偏差表.docx 报价函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技术方案.docx 业绩一览表.docx 已标价工程量清单 中小企业声明函 商务主要条款响应偏差表.docx 资格证明文件.docx 供应商承诺书.docx 响应文件封面 残疾人福利性单位声明函 报价函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针对本项目的质量目标、工期目标、安全目标、文明环保施工目标</w:t>
            </w:r>
          </w:p>
        </w:tc>
        <w:tc>
          <w:tcPr>
            <w:tcW w:type="dxa" w:w="2492"/>
          </w:tcPr>
          <w:p>
            <w:pPr>
              <w:pStyle w:val="null3"/>
            </w:pPr>
            <w:r>
              <w:rPr>
                <w:rFonts w:ascii="仿宋_GB2312" w:hAnsi="仿宋_GB2312" w:cs="仿宋_GB2312" w:eastAsia="仿宋_GB2312"/>
              </w:rPr>
              <w:t>提供针对本项目的质量目标、工期目标、安全目标、文明环保施工目标； 内容描述完整、全面、可操作性强、满足采购需求，得7.1-10分；内容较完整，有可操作性、较满足采购需求，得4.1-7 分；内容基本满足采购需求，得0.1-4分；未提供不得分。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针对本项目的质量、环境、安全控制措施</w:t>
            </w:r>
          </w:p>
        </w:tc>
        <w:tc>
          <w:tcPr>
            <w:tcW w:type="dxa" w:w="2492"/>
          </w:tcPr>
          <w:p>
            <w:pPr>
              <w:pStyle w:val="null3"/>
            </w:pPr>
            <w:r>
              <w:rPr>
                <w:rFonts w:ascii="仿宋_GB2312" w:hAnsi="仿宋_GB2312" w:cs="仿宋_GB2312" w:eastAsia="仿宋_GB2312"/>
              </w:rPr>
              <w:t>提供针对本项目的质量、环境、安全控制措施； 措施内容描述完整、全面、可操作性强、满足采购需求，得7.1-10分；以上措施内容较完整，有可操作性、较满足采购需求，得4.1-7 分；措施基本满足采购需求，得0.1-4分；未提供不得分。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针对本项目的质量管理措施计划</w:t>
            </w:r>
          </w:p>
        </w:tc>
        <w:tc>
          <w:tcPr>
            <w:tcW w:type="dxa" w:w="2492"/>
          </w:tcPr>
          <w:p>
            <w:pPr>
              <w:pStyle w:val="null3"/>
            </w:pPr>
            <w:r>
              <w:rPr>
                <w:rFonts w:ascii="仿宋_GB2312" w:hAnsi="仿宋_GB2312" w:cs="仿宋_GB2312" w:eastAsia="仿宋_GB2312"/>
              </w:rPr>
              <w:t>提供针对本项目的质量管理措施计划： 措施内容描述完整、全面、可操作性强、满足采购需求，得7.1-10分；以上措施内容较完整、全面，有可操作性、较满足采购需求，得4.1-7 分；措施基本满足采购需求，得0.1-4分；未提供不得分。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安全文明施工监督管理措施</w:t>
            </w:r>
          </w:p>
        </w:tc>
        <w:tc>
          <w:tcPr>
            <w:tcW w:type="dxa" w:w="2492"/>
          </w:tcPr>
          <w:p>
            <w:pPr>
              <w:pStyle w:val="null3"/>
            </w:pPr>
            <w:r>
              <w:rPr>
                <w:rFonts w:ascii="仿宋_GB2312" w:hAnsi="仿宋_GB2312" w:cs="仿宋_GB2312" w:eastAsia="仿宋_GB2312"/>
              </w:rPr>
              <w:t>安全文明施工监督管理措施； 措施内容描述完整、全面、可操作性强、满足采购需求，得7.1-10分；以上措施内容较完整、全面，有可操作性、较满足采购需求，得4.1-7 分；措施基本满足采购需求，得0.1-4分；未提供不得分。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人员配置： 项目管理机构人员及劳动力配备计划合理，分工明确，职责清晰得3.1-5分；项目管理机构人员及劳动力配备计划基本合理，分工基本明确，职责基本清晰得1.1-3分；项目管理机构人员及劳动力配备计划不合理，分工不明确，职责不清晰得0.1-1分，本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设备配置： 拟投入的机械配备齐全充足、针对性强、投入计划合理，充分满足项目需要得3.1-5分；拟投入的机械配备基本齐全，针对性一般，投入计划一般得1.1-3分；拟投入的机械配备不齐全，针对性差、满足项目需要可能存在困难得0.1-1分，本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一、评审内容 针对本项目提供具体可行的服务承诺及合理化建议，包括以下内容： ①服务质量承诺； ②服务响应时限、 ③安全保障 ④不能完全履行承诺时愿意接受相关处罚等 二、评审标准： ①完善性：方案必须全面，对评审内容中的各项要求有详细阐述； ②可实施性：切合本项目实际情况，提出步骤清晰、合理的方案； ③针对性：方案能够紧扣项目实际情况，内容科学合理。 上述4项评审内容全部满足评审标准得10分，每有一个评审内容缺项扣2.5分，每有一项评审内容存在缺陷，扣1分。不提供不得分。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质保服务</w:t>
            </w:r>
          </w:p>
        </w:tc>
        <w:tc>
          <w:tcPr>
            <w:tcW w:type="dxa" w:w="2492"/>
          </w:tcPr>
          <w:p>
            <w:pPr>
              <w:pStyle w:val="null3"/>
            </w:pPr>
            <w:r>
              <w:rPr>
                <w:rFonts w:ascii="仿宋_GB2312" w:hAnsi="仿宋_GB2312" w:cs="仿宋_GB2312" w:eastAsia="仿宋_GB2312"/>
              </w:rPr>
              <w:t>质保服务评审内容： ①.质量保障 ②.后期维护管理 ③.人员培训 ④.发生质量问题后的补救措施 评审依据： ①.完善性：方案必须全面，对评审内容中的各项要求有详细阐述； ②.可实施性：切合本项目实际情况，提出步骤清晰、合理的方案； ③.针对性：方案能够紧扣项目实际情况，内容科学合理。 上述4项评审内容全部满足评审标准得10分，每有一个评审内容缺项扣2.5分，每有一项评审内容存在缺陷，扣1分。未提供不得分。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业绩评审：2020年1月1日至今供应商承担过类似项目业绩（以合同签订时间为准），以合同为评审依据，每提供一个合同得2分，满分10分，未提供不得分。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满足竞争性磋商文件要求且磋商总报价最低为评标基准价，其价格分为满分。 报价得分=（评标基准价／磋商总报价）×20%×100。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详见附件：商务主要条款响应偏差表.docx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