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版本号：ZX2025-11-4220251126001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新址电力增容工程项目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ZX2025-11-42</w:t>
      </w:r>
      <w:r>
        <w:br/>
      </w:r>
      <w:r>
        <w:br/>
      </w:r>
      <w:r>
        <w:br/>
      </w:r>
    </w:p>
    <w:p>
      <w:pPr>
        <w:pStyle w:val="null3"/>
        <w:jc w:val="center"/>
        <w:outlineLvl w:val="2"/>
      </w:pPr>
      <w:r>
        <w:rPr>
          <w:rFonts w:ascii="仿宋_GB2312" w:hAnsi="仿宋_GB2312" w:cs="仿宋_GB2312" w:eastAsia="仿宋_GB2312"/>
          <w:sz w:val="28"/>
          <w:b/>
        </w:rPr>
        <w:t>西安市粮油质量检验中心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西安市粮油质量检验中心</w:t>
      </w:r>
      <w:r>
        <w:rPr>
          <w:rFonts w:ascii="仿宋_GB2312" w:hAnsi="仿宋_GB2312" w:cs="仿宋_GB2312" w:eastAsia="仿宋_GB2312"/>
        </w:rPr>
        <w:t>委托，拟对</w:t>
      </w:r>
      <w:r>
        <w:rPr>
          <w:rFonts w:ascii="仿宋_GB2312" w:hAnsi="仿宋_GB2312" w:cs="仿宋_GB2312" w:eastAsia="仿宋_GB2312"/>
        </w:rPr>
        <w:t>新址电力增容工程项目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ZX2025-11-42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新址电力增容工程项目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本项目为新址电力增容工程项目。原建筑提供的配电系统供电量约为400KW，根据电气专业设计方案及现场实际情况所需电量约为1570KW左右 ，现需要增设变压器及配电电缆，进行高低压配电柜、变压器、变压器进线电缆采购敷设。具体内容详见采购文件第三章。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采购包1（新址电力增容工程）：属于专门面向中小企业采购。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身份证；法定代表人授权他人参加磋商的，须提供法定代表人授权委托书及被授权人身份证。供应商需在项目电子化交易系统中按要求上传相应证明文件并进行电子签章；</w:t>
      </w:r>
    </w:p>
    <w:p>
      <w:pPr>
        <w:pStyle w:val="null3"/>
      </w:pPr>
      <w:r>
        <w:rPr>
          <w:rFonts w:ascii="仿宋_GB2312" w:hAnsi="仿宋_GB2312" w:cs="仿宋_GB2312" w:eastAsia="仿宋_GB2312"/>
        </w:rPr>
        <w:t>2、控股管理关系：提供直接控股和直接管理关系清单。若与其他投标人存在单位负责人为同一人或者存在直接控股、管理关系的，则投标无效。供应商需在项目电子化交易系统中按要求上传相应证明文件并进行电子签章；</w:t>
      </w:r>
    </w:p>
    <w:p>
      <w:pPr>
        <w:pStyle w:val="null3"/>
      </w:pPr>
      <w:r>
        <w:rPr>
          <w:rFonts w:ascii="仿宋_GB2312" w:hAnsi="仿宋_GB2312" w:cs="仿宋_GB2312" w:eastAsia="仿宋_GB2312"/>
        </w:rPr>
        <w:t>3、不接受联合体磋商，不允许分包：本项目不接受联合体磋商，不允许分包。供应商应提供《非联合体不分包投标声明》。供应商需在项目电子化交易系统中按要求上传相应证明文件并进行电子签章；</w:t>
      </w:r>
    </w:p>
    <w:p>
      <w:pPr>
        <w:pStyle w:val="null3"/>
      </w:pPr>
      <w:r>
        <w:rPr>
          <w:rFonts w:ascii="仿宋_GB2312" w:hAnsi="仿宋_GB2312" w:cs="仿宋_GB2312" w:eastAsia="仿宋_GB2312"/>
        </w:rPr>
        <w:t>4、供应商资质：供应商应具有建设行政主管部门核发的电力工程施工总承包三级以上（含三级）资质；同时具备承装（修、试）电力设施许可证（承装类、承修类、承试类）五级以上（含五级）资质或新证三级以上（含三级），并具备有效的安全生产许可证。供应商需在项目电子化交易系统中按要求上传相应证明文件并进行电子签章；</w:t>
      </w:r>
    </w:p>
    <w:p>
      <w:pPr>
        <w:pStyle w:val="null3"/>
      </w:pPr>
      <w:r>
        <w:rPr>
          <w:rFonts w:ascii="仿宋_GB2312" w:hAnsi="仿宋_GB2312" w:cs="仿宋_GB2312" w:eastAsia="仿宋_GB2312"/>
        </w:rPr>
        <w:t>5、项目负责人资质和专业要求：项目负责人须具备机电工程专业二级以上（含二级）建造师证书，同时具有安全生产考核合格证书（B证），在本单位注册，并提供无在建工程承诺。供应商需在项目电子化交易系统中按要求上传相应证明文件并进行电子签章；</w:t>
      </w:r>
    </w:p>
    <w:p>
      <w:pPr>
        <w:pStyle w:val="null3"/>
      </w:pPr>
      <w:r>
        <w:rPr>
          <w:rFonts w:ascii="仿宋_GB2312" w:hAnsi="仿宋_GB2312" w:cs="仿宋_GB2312" w:eastAsia="仿宋_GB2312"/>
        </w:rPr>
        <w:t>6、陕西省建筑市场一体化平台：省外企业须在“陕西省建筑市场监管与诚信信息发布平台”企业库可查询（附完整的查询结果截图加盖投标人公章）。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西安市粮油质量检验中心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西安市西北一路3号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029-87333909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王宇轩 曹婷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说明：成交后缴纳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代理服务费收费标准：参照国家计委计价格[2002]1980号及发改办价格[2003]857号通知规定按照成交金额标准计取。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西安市粮油质量检验中心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西安市粮油质量检验中心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西安市粮油质量检验中心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按照磋商文件，响应文件规定执行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 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电力增容工程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标的名称：电力增容工程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一、工程背景：</w:t>
            </w:r>
          </w:p>
          <w:p>
            <w:pPr>
              <w:pStyle w:val="null3"/>
            </w:pPr>
            <w:r>
              <w:rPr>
                <w:rFonts w:ascii="仿宋_GB2312" w:hAnsi="仿宋_GB2312" w:cs="仿宋_GB2312" w:eastAsia="仿宋_GB2312"/>
              </w:rPr>
              <w:t>原建筑提供的配电系统供电量约为400KW，根据电气专业设计方案及现场实际情况所需电量约为1570KW左右，现需要增设变压器及配电电缆，进行高低压配电柜、变压器、变压器进线电缆采购敷设。</w:t>
            </w:r>
          </w:p>
          <w:p>
            <w:pPr>
              <w:pStyle w:val="null3"/>
            </w:pPr>
            <w:r>
              <w:rPr>
                <w:rFonts w:ascii="仿宋_GB2312" w:hAnsi="仿宋_GB2312" w:cs="仿宋_GB2312" w:eastAsia="仿宋_GB2312"/>
              </w:rPr>
              <w:t>二、工程概况及施工内容：</w:t>
            </w:r>
          </w:p>
          <w:p>
            <w:pPr>
              <w:pStyle w:val="null3"/>
            </w:pPr>
            <w:r>
              <w:rPr>
                <w:rFonts w:ascii="仿宋_GB2312" w:hAnsi="仿宋_GB2312" w:cs="仿宋_GB2312" w:eastAsia="仿宋_GB2312"/>
              </w:rPr>
              <w:t>本工程位于西安石羊食品产业园（草滩三路以西，尚稷路以北），新增1250kVA箱式变电站一座，包含箱变采购安装、基础砌筑、围栏安装、内外线高低压电缆敷设、路面破除恢复、直埋铺管、打洞、充电桩安装、供电手续办理、验收协调等工作内容。</w:t>
            </w:r>
          </w:p>
          <w:p>
            <w:pPr>
              <w:pStyle w:val="null3"/>
            </w:pPr>
            <w:r>
              <w:rPr>
                <w:rFonts w:ascii="仿宋_GB2312" w:hAnsi="仿宋_GB2312" w:cs="仿宋_GB2312" w:eastAsia="仿宋_GB2312"/>
              </w:rPr>
              <w:t>三、主要功能或目标：</w:t>
            </w:r>
          </w:p>
          <w:p>
            <w:pPr>
              <w:pStyle w:val="null3"/>
            </w:pPr>
            <w:r>
              <w:rPr>
                <w:rFonts w:ascii="仿宋_GB2312" w:hAnsi="仿宋_GB2312" w:cs="仿宋_GB2312" w:eastAsia="仿宋_GB2312"/>
              </w:rPr>
              <w:t>采购完成后以满足采购人办公及检验检测业务的需求，解决电力不足的问题，保障采购人各项业务的顺利开展。</w:t>
            </w:r>
          </w:p>
          <w:p>
            <w:pPr>
              <w:pStyle w:val="null3"/>
            </w:pPr>
            <w:r>
              <w:rPr>
                <w:rFonts w:ascii="仿宋_GB2312" w:hAnsi="仿宋_GB2312" w:cs="仿宋_GB2312" w:eastAsia="仿宋_GB2312"/>
              </w:rPr>
              <w:t>四、有关问题说明</w:t>
            </w:r>
          </w:p>
          <w:p>
            <w:pPr>
              <w:pStyle w:val="null3"/>
            </w:pPr>
            <w:r>
              <w:rPr>
                <w:rFonts w:ascii="仿宋_GB2312" w:hAnsi="仿宋_GB2312" w:cs="仿宋_GB2312" w:eastAsia="仿宋_GB2312"/>
              </w:rPr>
              <w:t>1、本工程所用真空断路器品牌参考陕西平之高、宝电森源、西安森源、西电宝鸡、博时达等同等同档次或更优品牌。</w:t>
            </w:r>
          </w:p>
          <w:p>
            <w:pPr>
              <w:pStyle w:val="null3"/>
            </w:pPr>
            <w:r>
              <w:rPr>
                <w:rFonts w:ascii="仿宋_GB2312" w:hAnsi="仿宋_GB2312" w:cs="仿宋_GB2312" w:eastAsia="仿宋_GB2312"/>
              </w:rPr>
              <w:t>2、所用微机保护品牌参考浙江实德、安科瑞、珠江瑞捷、斯菲尔等同等同档次或更优品牌。</w:t>
            </w:r>
          </w:p>
          <w:p>
            <w:pPr>
              <w:pStyle w:val="null3"/>
            </w:pPr>
            <w:r>
              <w:rPr>
                <w:rFonts w:ascii="仿宋_GB2312" w:hAnsi="仿宋_GB2312" w:cs="仿宋_GB2312" w:eastAsia="仿宋_GB2312"/>
              </w:rPr>
              <w:t>3、所用框架断路器品牌参考浙江西屋、上海人民、上海良信、常熟开关、正泰、德力西等同等同档次或更优品牌。</w:t>
            </w:r>
          </w:p>
          <w:p>
            <w:pPr>
              <w:pStyle w:val="null3"/>
            </w:pPr>
            <w:r>
              <w:rPr>
                <w:rFonts w:ascii="仿宋_GB2312" w:hAnsi="仿宋_GB2312" w:cs="仿宋_GB2312" w:eastAsia="仿宋_GB2312"/>
              </w:rPr>
              <w:t>4、所用塑壳断路器品牌参考浙江西屋、上海人民、上海良信、常熟开关、正泰、德力西等同等同档次或更优品牌。</w:t>
            </w:r>
          </w:p>
          <w:p>
            <w:pPr>
              <w:pStyle w:val="null3"/>
            </w:pPr>
            <w:r>
              <w:rPr>
                <w:rFonts w:ascii="仿宋_GB2312" w:hAnsi="仿宋_GB2312" w:cs="仿宋_GB2312" w:eastAsia="仿宋_GB2312"/>
              </w:rPr>
              <w:t>5、所用微型断路器品牌参考浙江西屋、上海人民、上海良信、常熟开关、正泰、德力西等同等同档次或更优品牌。</w:t>
            </w:r>
          </w:p>
          <w:p>
            <w:pPr>
              <w:pStyle w:val="null3"/>
            </w:pPr>
            <w:r>
              <w:rPr>
                <w:rFonts w:ascii="仿宋_GB2312" w:hAnsi="仿宋_GB2312" w:cs="仿宋_GB2312" w:eastAsia="仿宋_GB2312"/>
              </w:rPr>
              <w:t>6、所用无功补偿品牌参考上海威斯康、浙江佑朗、苏容、安科瑞等同等同档次或更优品牌。</w:t>
            </w:r>
          </w:p>
          <w:p>
            <w:pPr>
              <w:pStyle w:val="null3"/>
            </w:pPr>
            <w:r>
              <w:rPr>
                <w:rFonts w:ascii="仿宋_GB2312" w:hAnsi="仿宋_GB2312" w:cs="仿宋_GB2312" w:eastAsia="仿宋_GB2312"/>
              </w:rPr>
              <w:t>7、所用变压器品牌参考江苏风光、汉中汉变、江苏华辰、江苏中驰、西安盛鑫等同等同档次或更优品牌。</w:t>
            </w:r>
          </w:p>
          <w:p>
            <w:pPr>
              <w:pStyle w:val="null3"/>
            </w:pPr>
            <w:r>
              <w:rPr>
                <w:rFonts w:ascii="仿宋_GB2312" w:hAnsi="仿宋_GB2312" w:cs="仿宋_GB2312" w:eastAsia="仿宋_GB2312"/>
              </w:rPr>
              <w:t>8、所用电缆品牌参考上上、远东、宝胜、亨通电缆、银河众鑫、河北光磊等同等同档次或更优品牌。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（一）工期要求：自合同签订之日起90日历日内。 （二）施工地点：西安石羊食品产业园（草滩三路以西，尚稷路以北）。 （三）质量保修期：自验收合格之日起二年。质保期内，因施工原因出现的全部质量问题，由成交供应商负责维修并承担全部费用。 属于保修范围和内容的项目，成交供应商应在接到维修通知后，3小时内派人维修。发生紧急抢修事故（如供电设施漏、断电等），成交供应商应在接到事故通知后30分钟内到达事故现场并于12小时内完成应急维修。 （四）工程质量：合格。 （五）采购资金的支付方式及时间：（1）合同签订后10个工作日内支付合同总价款40%作为预付款； （2）工程竣工、验收合格后15个工作日内支付至合同总价款的80%； （3）完成通电后15个工作日内支付至合同总价款的90%； （4）工程竣工结算审计完成，达到付款条件起30个工作日内，支付至结算价总额的100%； （5）若竣工验收时供应商已缴纳的履约保证金金额大于审计结算金额的3%，采购人无需退还超出部分；若竣工验收时供应商已缴纳的履约保证金金额小于审计结算金额的3%，供应商需补缴相应差额；履约保证金在质保期2年结束后无息退还，由供应商向采购人申请退还履约保证金，经采购人对工程成品核查合格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1.清单报价编制要求： （1）按照陕西省现行工程量清单编制依据：《房屋建筑与装饰工程工程量计算标准》(DB61/T5129-2025)；《通用安装工程工程量计算标准》(DB61/T5130-2025)， 建设主管部门颁发的计价依据：《建设工程工程量清单计价标准》(GB/T 50500-2024)；《建设工程工程量清单计价标准》(DB61/T5126-2025)；《陕西省建设工程费用规则》(2025)；材料价格依据陕西省最新一期信息价及市场价计入等编制。 （2）供应商应充分考虑磋商文件的各项要求和本工程的实际情况，根据自身实力，充分考虑材料价格、人工费、物价上涨等市场变化的风险，自主报价，风险自担。 （3）不可竞争的规费、税金、安全文明施工费按计价规则的规定计取，营改增按陕建发调整陕西省建设工程计价依据的通知执行，磋商报价中包含所有费用。 （4）本工程材料采购需采购人进行认质。 2.图纸及工程量清单详见附件。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不需要缴税的供应商应提供相关文件证明； ③提供自2024年11月1日以来至少一个月已缴纳的社会保障资金的证明（社会保障资金缴存单据或社保机构开具的社会保险参保缴费情况证明等）；依法不需要缴纳社会保障资金的供应商应提供相关文件证明；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注:1、以上②-③项，提供“陕西省政府采购供应商信用承诺书”的，可不再提供其他证明文件2、供应商需在项目电子化交易系统中上传相关证明文件并进行电子签章。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供应商需在项目电子化交易系统中上传相关证明文件并进行电子签章。 注:1、此项，提供“陕西省政府采购供应商信用承诺书”的，可不再提供其他证明文件。 2、供应商需在项目电子化交易系统中上传相关证明文件并进行电子签章。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 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法定代表人参加磋商的，须提供身份证；法定代表人授权他人参加磋商的，须提供法定代表人授权委托书及被授权人身份证。供应商需在项目电子化交易系统中按要求上传相应证明文件并进行电子签章；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提供直接控股和直接管理关系清单。若与其他投标人存在单位负责人为同一人或者存在直接控股、管理关系的，则投标无效。供应商需在项目电子化交易系统中按要求上传相应证明文件并进行电子签章；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有建设行政主管部门核发的电力工程施工总承包三级以上（含三级）资质；同时具备承装（修、试）电力设施许可证（承装类、承修类、承试类）五级以上（含五级）资质或新证三级以上（含三级），并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项目负责人须具备机电工程专业二级以上（含二级）建造师证书，同时具有安全生产考核合格证书（B证），在本单位注册，并提供无在建工程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陕西省建筑市场一体化平台</w:t>
            </w:r>
          </w:p>
        </w:tc>
        <w:tc>
          <w:tcPr>
            <w:tcW w:type="dxa" w:w="3322"/>
          </w:tcPr>
          <w:p>
            <w:pPr>
              <w:pStyle w:val="null3"/>
            </w:pPr>
            <w:r>
              <w:rPr>
                <w:rFonts w:ascii="仿宋_GB2312" w:hAnsi="仿宋_GB2312" w:cs="仿宋_GB2312" w:eastAsia="仿宋_GB2312"/>
              </w:rPr>
              <w:t>省外企业须在“陕西省建筑市场监管与诚信信息发布平台”企业库可查询（附完整的查询结果截图加盖投标人公章）。供应商需在项目电子化交易系统中按要求上传相应证明文件并进行电子签章。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工程量清单计价表.docx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有下列情况之一，其响应文件无效： (1)未按照磋商文件规定要求签署、盖章的； (2)响应有效期不足的或无有效期的； (3)报价超过磋商文件中规定的预算金额或最高限价的； (4)不满足本磋商文件中第三章“三、针对本项目的其他技术服务要求”条款内容的； (5)法律、规章、规范性文件和磋商文件规定的其他无效情形。</w:t>
            </w:r>
          </w:p>
        </w:tc>
        <w:tc>
          <w:tcPr>
            <w:tcW w:type="dxa" w:w="1661"/>
          </w:tcPr>
          <w:p>
            <w:pPr>
              <w:pStyle w:val="null3"/>
            </w:pPr>
            <w:r>
              <w:rPr>
                <w:rFonts w:ascii="仿宋_GB2312" w:hAnsi="仿宋_GB2312" w:cs="仿宋_GB2312" w:eastAsia="仿宋_GB2312"/>
              </w:rPr>
              <w:t>响应文件封面 报价函 承诺书.docx 商务部分偏离表.docx 工程量清单计价表.docx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供应商提供针对本项目的施工方案，包括①施工整体流程；②关键部位施工方案(至少包含施工准备工作、施工方法、施工工艺) ；③提供施工过程中降低周边地区用电影响的技术组织措施；④劳动力配置计划；⑤与本项目监理的配合方案。施工方案应符合采购项目特点及要求，描述详尽且有利于项目实施。 满足项目实施要求，无瑕疵：10分；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1施工方案.docx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投标人针对本项目工期要求及施工特点，提供针对本项目的施工进度计划，包括①工期计划安排；②工期保证措施；③各专项任务的衔接；④雨雪季或寒冬季施工计划。 满足项目实施要求，无瑕疵：8分；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2施工进度计划.docx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提供针对本项目的质量保障方案，能够确保项目按照交付标准要求投入正常使用，包括但不限于①施工前期、中期、后期质量保障措施；②质量全过程检查制度；③质量保证承诺。保障杜绝安全隐患，满足长期用电需求。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3质量保障方案.docx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供应商提供针对本项目确保不可控因素导致无法供电或施工时电力不足的供电应急预案。 满足项目实施要求，无瑕疵：4分；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4应急预案.docx</w:t>
            </w:r>
          </w:p>
        </w:tc>
      </w:tr>
      <w:tr>
        <w:tc>
          <w:tcPr>
            <w:tcW w:type="dxa" w:w="831"/>
            <w:vMerge/>
          </w:tcPr>
          <w:p/>
        </w:tc>
        <w:tc>
          <w:tcPr>
            <w:tcW w:type="dxa" w:w="1661"/>
          </w:tcPr>
          <w:p>
            <w:pPr>
              <w:pStyle w:val="null3"/>
            </w:pPr>
            <w:r>
              <w:rPr>
                <w:rFonts w:ascii="仿宋_GB2312" w:hAnsi="仿宋_GB2312" w:cs="仿宋_GB2312" w:eastAsia="仿宋_GB2312"/>
              </w:rPr>
              <w:t>资源供应计划</w:t>
            </w:r>
          </w:p>
        </w:tc>
        <w:tc>
          <w:tcPr>
            <w:tcW w:type="dxa" w:w="2492"/>
          </w:tcPr>
          <w:p>
            <w:pPr>
              <w:pStyle w:val="null3"/>
            </w:pPr>
            <w:r>
              <w:rPr>
                <w:rFonts w:ascii="仿宋_GB2312" w:hAnsi="仿宋_GB2312" w:cs="仿宋_GB2312" w:eastAsia="仿宋_GB2312"/>
              </w:rPr>
              <w:t>供应商针对本项目施工内容及需求拟定资源供应计划，包括但不限于①主要材料需求计划、②机械设备需求计划、③临时设施布置计划。计划制定应符合项目需求、充分考虑各项工程技术及材料要求。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5资源供应计划.docx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供应商结合工程环境、特点，提供针对本项目的安全文明施工措施包括①安全管理人员配备②安全生产管理制度及各道工序安全技术措施③现场文明施工计划和环境保护措施④施工现场扬尘预防措施。内容应符合采购项目特点及要求，描述详尽且有利于保障项目实施安全和现场环境保护。 满足项目实施要求，无瑕疵：4分；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6安全文明施工措施.docx</w:t>
            </w:r>
          </w:p>
        </w:tc>
      </w:tr>
      <w:tr>
        <w:tc>
          <w:tcPr>
            <w:tcW w:type="dxa" w:w="831"/>
            <w:vMerge/>
          </w:tcPr>
          <w:p/>
        </w:tc>
        <w:tc>
          <w:tcPr>
            <w:tcW w:type="dxa" w:w="1661"/>
          </w:tcPr>
          <w:p>
            <w:pPr>
              <w:pStyle w:val="null3"/>
            </w:pPr>
            <w:r>
              <w:rPr>
                <w:rFonts w:ascii="仿宋_GB2312" w:hAnsi="仿宋_GB2312" w:cs="仿宋_GB2312" w:eastAsia="仿宋_GB2312"/>
              </w:rPr>
              <w:t>项目组织架构（不含项目负责人）</w:t>
            </w:r>
          </w:p>
        </w:tc>
        <w:tc>
          <w:tcPr>
            <w:tcW w:type="dxa" w:w="2492"/>
          </w:tcPr>
          <w:p>
            <w:pPr>
              <w:pStyle w:val="null3"/>
            </w:pPr>
            <w:r>
              <w:rPr>
                <w:rFonts w:ascii="仿宋_GB2312" w:hAnsi="仿宋_GB2312" w:cs="仿宋_GB2312" w:eastAsia="仿宋_GB2312"/>
              </w:rPr>
              <w:t>供应商提供针对本项目的项目组织架构，明确项目人员构成情况,包括技术负责人、施工员、资料员、材料员、质量员、标准员、二级造价师、专职安全管理人员、高压电工等。提供人员的职责分工、相关职称证书或资格证书。 满足项目实施要求，无瑕疵：10分；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7项目组织架构（不含项目负责人）.docx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提供供应商2022年1月1日至今同类项目施工合同（已完工）（以合同签订日期为准）。①提供合同扫描件，须清晰体现签约主体和日期、项目名称及内容、合同金额等核心要素；②提供项目完工相关证明材料， 以上两项均须提供，否则不计为有效业绩。 每提供1个有效业绩得2分，最高得10分。 备注：响应文件中提供合同扫描件及项目完工证明资料加盖供应商公章。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8供应商业绩.docx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提供项目负责人2022年1月1日至今同类项目施工合同（已完工）（以合同签订日期为准）。①提供合同扫描件，须清晰体现签约主体和日期、项目名称及内容、合同金额等核心要素；②提供项目完工相关证明材料， 以上两项均须提供，否则不计为有效业绩。 每提供1个有效业绩得2分，最高得4分。 备注：1.响应文件中提供合同扫描件及项目完工证明资料加盖供应商公章。2.证明材料中须体现项目经理姓名。</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9项目负责人业绩.docx</w:t>
            </w:r>
          </w:p>
        </w:tc>
      </w:tr>
      <w:tr>
        <w:tc>
          <w:tcPr>
            <w:tcW w:type="dxa" w:w="831"/>
            <w:vMerge/>
          </w:tcPr>
          <w:p/>
        </w:tc>
        <w:tc>
          <w:tcPr>
            <w:tcW w:type="dxa" w:w="1661"/>
          </w:tcPr>
          <w:p>
            <w:pPr>
              <w:pStyle w:val="null3"/>
            </w:pPr>
            <w:r>
              <w:rPr>
                <w:rFonts w:ascii="仿宋_GB2312" w:hAnsi="仿宋_GB2312" w:cs="仿宋_GB2312" w:eastAsia="仿宋_GB2312"/>
              </w:rPr>
              <w:t>技术负责人业绩</w:t>
            </w:r>
          </w:p>
        </w:tc>
        <w:tc>
          <w:tcPr>
            <w:tcW w:type="dxa" w:w="2492"/>
          </w:tcPr>
          <w:p>
            <w:pPr>
              <w:pStyle w:val="null3"/>
            </w:pPr>
            <w:r>
              <w:rPr>
                <w:rFonts w:ascii="仿宋_GB2312" w:hAnsi="仿宋_GB2312" w:cs="仿宋_GB2312" w:eastAsia="仿宋_GB2312"/>
              </w:rPr>
              <w:t>提供技术负责人2022年1月1日至今同类项目施工合同（已完工）（以合同签订日期为准）。①提供合同扫描件，须清晰体现签约主体和日期、项目名称及内容、合同金额等核心要素；②提供项目完工相关证明材料， 以上两项均须提供，否则不计为有效业绩。 每提供1个有效业绩得1分，最高得2分。 备注：1.响应文件中提供合同扫描件及项目完工证明资料加盖供应商公章。2.证明材料中须体现技术负责人姓名。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10技术负责人业绩.docx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投标人针对本项目质保期内有详细具体的售后服务方案，包括但不限于①售后服务内容、②售后人员配备、③紧急抢修事故的维修措施。 满足项目实施要求，无瑕疵：6分；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详见附件：1施工方案.docx</w:t>
      </w:r>
    </w:p>
    <w:p>
      <w:pPr>
        <w:pStyle w:val="null3"/>
        <w:ind w:firstLine="960"/>
      </w:pPr>
      <w:r>
        <w:rPr>
          <w:rFonts w:ascii="仿宋_GB2312" w:hAnsi="仿宋_GB2312" w:cs="仿宋_GB2312" w:eastAsia="仿宋_GB2312"/>
        </w:rPr>
        <w:t>详见附件：2施工进度计划.docx</w:t>
      </w:r>
    </w:p>
    <w:p>
      <w:pPr>
        <w:pStyle w:val="null3"/>
        <w:ind w:firstLine="960"/>
      </w:pPr>
      <w:r>
        <w:rPr>
          <w:rFonts w:ascii="仿宋_GB2312" w:hAnsi="仿宋_GB2312" w:cs="仿宋_GB2312" w:eastAsia="仿宋_GB2312"/>
        </w:rPr>
        <w:t>详见附件：3质量保障方案.docx</w:t>
      </w:r>
    </w:p>
    <w:p>
      <w:pPr>
        <w:pStyle w:val="null3"/>
        <w:ind w:firstLine="960"/>
      </w:pPr>
      <w:r>
        <w:rPr>
          <w:rFonts w:ascii="仿宋_GB2312" w:hAnsi="仿宋_GB2312" w:cs="仿宋_GB2312" w:eastAsia="仿宋_GB2312"/>
        </w:rPr>
        <w:t>详见附件：4应急预案.docx</w:t>
      </w:r>
    </w:p>
    <w:p>
      <w:pPr>
        <w:pStyle w:val="null3"/>
        <w:ind w:firstLine="960"/>
      </w:pPr>
      <w:r>
        <w:rPr>
          <w:rFonts w:ascii="仿宋_GB2312" w:hAnsi="仿宋_GB2312" w:cs="仿宋_GB2312" w:eastAsia="仿宋_GB2312"/>
        </w:rPr>
        <w:t>详见附件：5资源供应计划.docx</w:t>
      </w:r>
    </w:p>
    <w:p>
      <w:pPr>
        <w:pStyle w:val="null3"/>
        <w:ind w:firstLine="960"/>
      </w:pPr>
      <w:r>
        <w:rPr>
          <w:rFonts w:ascii="仿宋_GB2312" w:hAnsi="仿宋_GB2312" w:cs="仿宋_GB2312" w:eastAsia="仿宋_GB2312"/>
        </w:rPr>
        <w:t>详见附件：6安全文明施工措施.docx</w:t>
      </w:r>
    </w:p>
    <w:p>
      <w:pPr>
        <w:pStyle w:val="null3"/>
        <w:ind w:firstLine="960"/>
      </w:pPr>
      <w:r>
        <w:rPr>
          <w:rFonts w:ascii="仿宋_GB2312" w:hAnsi="仿宋_GB2312" w:cs="仿宋_GB2312" w:eastAsia="仿宋_GB2312"/>
        </w:rPr>
        <w:t>详见附件：7项目组织架构（不含项目负责人）.docx</w:t>
      </w:r>
    </w:p>
    <w:p>
      <w:pPr>
        <w:pStyle w:val="null3"/>
        <w:ind w:firstLine="960"/>
      </w:pPr>
      <w:r>
        <w:rPr>
          <w:rFonts w:ascii="仿宋_GB2312" w:hAnsi="仿宋_GB2312" w:cs="仿宋_GB2312" w:eastAsia="仿宋_GB2312"/>
        </w:rPr>
        <w:t>详见附件：8供应商业绩.docx</w:t>
      </w:r>
    </w:p>
    <w:p>
      <w:pPr>
        <w:pStyle w:val="null3"/>
        <w:ind w:firstLine="960"/>
      </w:pPr>
      <w:r>
        <w:rPr>
          <w:rFonts w:ascii="仿宋_GB2312" w:hAnsi="仿宋_GB2312" w:cs="仿宋_GB2312" w:eastAsia="仿宋_GB2312"/>
        </w:rPr>
        <w:t>详见附件：9项目负责人业绩.docx</w:t>
      </w:r>
    </w:p>
    <w:p>
      <w:pPr>
        <w:pStyle w:val="null3"/>
        <w:ind w:firstLine="960"/>
      </w:pPr>
      <w:r>
        <w:rPr>
          <w:rFonts w:ascii="仿宋_GB2312" w:hAnsi="仿宋_GB2312" w:cs="仿宋_GB2312" w:eastAsia="仿宋_GB2312"/>
        </w:rPr>
        <w:t>详见附件：10技术负责人业绩.docx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详见附件：工程量清单计价表.docx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