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95CD5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2B63FC3A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5B1B2305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249C9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2FF602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70835FE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0FCFD8C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F2D10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7911931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551F2C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24D15C26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57D38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A02EAF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0FAFE53A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2F949A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304F4C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1FB1D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37B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16EBF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636FF5F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47D37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903549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0F407DD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8EA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6DCB0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67AB0317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2C11A7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25AA40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47ABC9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F7D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2FC8F9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14FAAC5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9CDDDF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0F1174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9225E2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1055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C67270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4616A7C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4520650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B9F8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A0D73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1680535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6FFF1D0C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第三章3.1技术、服务标准和要求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中“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val="en-US"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</w:t>
      </w:r>
    </w:p>
    <w:p w14:paraId="03EE00E1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1BA1D276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3、响应文件实际存在偏离，但供应商未在偏离表中注明的，视为负偏离，应当按照磋商文件的规定执行。成交</w:t>
      </w:r>
      <w:bookmarkStart w:id="0" w:name="_GoBack"/>
      <w:bookmarkEnd w:id="0"/>
      <w:r>
        <w:rPr>
          <w:rFonts w:hint="eastAsia" w:ascii="仿宋" w:hAnsi="仿宋"/>
          <w:sz w:val="28"/>
          <w:szCs w:val="28"/>
          <w:highlight w:val="none"/>
        </w:rPr>
        <w:t>供应商在签订合同时，不得以任何理由进行抗辩。</w:t>
      </w:r>
    </w:p>
    <w:p w14:paraId="0F9E5398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4、未填写内容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，视为“完全响应”。</w:t>
      </w:r>
    </w:p>
    <w:p w14:paraId="647CAE99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6C85E49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4BD1C5AC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205EE6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184A5986"/>
    <w:rsid w:val="2895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258</Characters>
  <Lines>0</Lines>
  <Paragraphs>0</Paragraphs>
  <TotalTime>0</TotalTime>
  <ScaleCrop>false</ScaleCrop>
  <LinksUpToDate>false</LinksUpToDate>
  <CharactersWithSpaces>302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H</cp:lastModifiedBy>
  <dcterms:modified xsi:type="dcterms:W3CDTF">2025-11-26T01:52:58Z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