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版本号：JBZB2025-11520251127001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2025年市数据局西安市电子政务城域网统一规划项目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JBZB2025-115</w:t>
      </w:r>
      <w:r>
        <w:br/>
      </w:r>
      <w:r>
        <w:br/>
      </w:r>
      <w:r>
        <w:br/>
      </w:r>
    </w:p>
    <w:p>
      <w:pPr>
        <w:pStyle w:val="null3"/>
        <w:jc w:val="center"/>
        <w:outlineLvl w:val="2"/>
      </w:pPr>
      <w:r>
        <w:rPr>
          <w:rFonts w:ascii="仿宋_GB2312" w:hAnsi="仿宋_GB2312" w:cs="仿宋_GB2312" w:eastAsia="仿宋_GB2312"/>
          <w:sz w:val="28"/>
          <w:b/>
        </w:rPr>
        <w:t>西安市数据局</w:t>
      </w:r>
    </w:p>
    <w:p>
      <w:pPr>
        <w:pStyle w:val="null3"/>
        <w:jc w:val="center"/>
        <w:outlineLvl w:val="2"/>
      </w:pPr>
      <w:r>
        <w:rPr>
          <w:rFonts w:ascii="仿宋_GB2312" w:hAnsi="仿宋_GB2312" w:cs="仿宋_GB2312" w:eastAsia="仿宋_GB2312"/>
          <w:sz w:val="28"/>
          <w:b/>
        </w:rPr>
        <w:t>陕西嘉邦项目管理咨询有限公司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陕西嘉邦项目管理咨询有限公司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西安市数据局</w:t>
      </w:r>
      <w:r>
        <w:rPr>
          <w:rFonts w:ascii="仿宋_GB2312" w:hAnsi="仿宋_GB2312" w:cs="仿宋_GB2312" w:eastAsia="仿宋_GB2312"/>
        </w:rPr>
        <w:t>委托，拟对</w:t>
      </w:r>
      <w:r>
        <w:rPr>
          <w:rFonts w:ascii="仿宋_GB2312" w:hAnsi="仿宋_GB2312" w:cs="仿宋_GB2312" w:eastAsia="仿宋_GB2312"/>
        </w:rPr>
        <w:t>2025年市数据局西安市电子政务城域网统一规划项目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JBZB2025-115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2025年市数据局西安市电子政务城域网统一规划项目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落实《国务院关于加强数字政府建设的指导意见》（国发〔2022〕14号）、《陕西省数字政府建设“十四五”规划》等文件要求，进一步支撑西安市智慧城市建设，更好地满足“一网通办、一网统管、一网协同”等业务场景需要，从全市维度夯实数字基础设施底座，深化数实融合，按照“统一规划、统一标准、统一出口管理、统一外联接入、统一安全管理、统一网络资源及运维管理”的标准，统筹整合现有网络资源，构建数字政府的坚实底座，支撑“数字西安”建设。 根据陕西省《数字政府建设十四五规划》文件要求，须强化电子政务网络统筹建设管理，促进高效共建共享，降低建设运维成本。提高电子政务外网移动接入能力，强化电子政务外网服务功能，并不断向乡镇基层延伸，在安全可控的前提下按需向企事业单位拓展。统筹建立安全高效的跨网数据传输机制，有序推进非涉密业务专网向电子政务外网整合迁移，各地区各部门原则上不再新建业务专网。 根据陕西省《电子政务外网建设指南》文件指引，形成全省架构统一、运行高效、安全可靠的新型电子政务外网网络体系，为跨层级、跨区域、跨部门网络互通、数据互通、应用协同提供支撑。分阶段推动部门非涉密业务专网向电子政务外网迁移整合或者融合互联，全省各类非涉密专网通过网络割接、业务迁移等方式，统一并入电子政务外网，建成全面覆盖、带宽充足、安全稳定的政务网络支撑体系。 根据《西安市数字政府改革建设方案》文件要求，须构建电子政务“一张网”。推进电子政务外网向社区（村）基层延伸，实现四级全覆盖；清理各级各部门分散隔离的非涉密专网；推进电子政务骨干网提速升级，为跨层级、跨部门、跨区域的网络互通、数据互通、应用协同提供支撑。 本项目应按照西安市相关发展现状及实际业务需求，合理制定西安市电子政务城域网发展建设目标，满足政策及多元化业务发展需求，支撑“数字西安”建设。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1、投标人主体：具有独立承担民事责任能力的法人、其他组织或自然人，并出具合法有效的营业执照或事业单位法人证书等国家规定的相关证明，自然人参与的提供其身份证；</w:t>
      </w:r>
    </w:p>
    <w:p>
      <w:pPr>
        <w:pStyle w:val="null3"/>
      </w:pPr>
      <w:r>
        <w:rPr>
          <w:rFonts w:ascii="仿宋_GB2312" w:hAnsi="仿宋_GB2312" w:cs="仿宋_GB2312" w:eastAsia="仿宋_GB2312"/>
        </w:rPr>
        <w:t>2、财务状况：提供2023或2024年度经审计的财务报告（包括“四表一注”，即资产负债表、利润表、现金流量表、所有者权益变动表及其附注，成立时间至提交响应文件截止时间不足一年的可提供成立后任意时段的资产负债表），或其磋商前六个月内银行出具的资信证明；（以上两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rFonts w:ascii="仿宋_GB2312" w:hAnsi="仿宋_GB2312" w:cs="仿宋_GB2312" w:eastAsia="仿宋_GB2312"/>
        </w:rPr>
        <w:t>4、社会保障资金缴存证明：提供2025年1月至今已缴存的至少一个月的社会保障资金缴存单据或社保机构开具的社会保险参保缴费情况证明，依法不需要缴存社会保障资金的单位应提供相关证明材料。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5、参加政府采购活动前3年内在经营活动中没有重大违法记录：参加政府采购活动前3年内在经营活动中没有重大违法记录的书面声明；</w:t>
      </w:r>
    </w:p>
    <w:p>
      <w:pPr>
        <w:pStyle w:val="null3"/>
      </w:pPr>
      <w:r>
        <w:rPr>
          <w:rFonts w:ascii="仿宋_GB2312" w:hAnsi="仿宋_GB2312" w:cs="仿宋_GB2312" w:eastAsia="仿宋_GB2312"/>
        </w:rPr>
        <w:t>6、具有履行合同所必需的设备和专业技术能力：具有履行合同所必需的设备和专业技术能力的承诺函；</w:t>
      </w:r>
    </w:p>
    <w:p>
      <w:pPr>
        <w:pStyle w:val="null3"/>
      </w:pPr>
      <w:r>
        <w:rPr>
          <w:rFonts w:ascii="仿宋_GB2312" w:hAnsi="仿宋_GB2312" w:cs="仿宋_GB2312" w:eastAsia="仿宋_GB2312"/>
        </w:rPr>
        <w:t>7、法定代表人授权书：法定代表人或负责人参与磋商时需提供法定代表人或负责人资格证明书（附法定代表人或负责人身份证复印件）； 被授权人参与磋商时需提供法定代表人或负责人授权委托书（附法定代表人或负责人及被授权人身份证复印件）；</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10、企业资质证书：供应商须同时具备工程设计电子通信广电行业（通信工程）乙级及以上资质证书 、工程勘察专业类（工程测量）乙级及以上资质证书。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西安市数据局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67095503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陕西嘉邦项目管理咨询有限公司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陕西省西安市未央区明光路58号FED创新中心A座605室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029-89246095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采购包1：1,751,300.00元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代理服务费收费标准：本项目采购代理服务费以固定费用收取，收取金额：￥13657.12元（大写：壹万叁仟陆佰伍拾柒元壹角贰分），由成交供应商领取成交通知书时一次性缴纳。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西安市数据局</w:t>
      </w:r>
      <w:r>
        <w:rPr>
          <w:rFonts w:ascii="仿宋_GB2312" w:hAnsi="仿宋_GB2312" w:cs="仿宋_GB2312" w:eastAsia="仿宋_GB2312"/>
        </w:rPr>
        <w:t>和</w:t>
      </w:r>
      <w:r>
        <w:rPr>
          <w:rFonts w:ascii="仿宋_GB2312" w:hAnsi="仿宋_GB2312" w:cs="仿宋_GB2312" w:eastAsia="仿宋_GB2312"/>
        </w:rPr>
        <w:t>陕西嘉邦项目管理咨询有限公司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西安市数据局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陕西嘉邦项目管理咨询有限公司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西安市数据局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陕西嘉邦项目管理咨询有限公司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陕西嘉邦项目管理咨询有限公司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陕西嘉邦项目管理咨询有限公司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陕西嘉邦项目管理咨询有限公司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联系人：张悦</w:t>
      </w:r>
    </w:p>
    <w:p>
      <w:pPr>
        <w:pStyle w:val="null3"/>
      </w:pPr>
      <w:r>
        <w:rPr>
          <w:rFonts w:ascii="仿宋_GB2312" w:hAnsi="仿宋_GB2312" w:cs="仿宋_GB2312" w:eastAsia="仿宋_GB2312"/>
        </w:rPr>
        <w:t>联系电话：029-89246095</w:t>
      </w:r>
    </w:p>
    <w:p>
      <w:pPr>
        <w:pStyle w:val="null3"/>
      </w:pPr>
      <w:r>
        <w:rPr>
          <w:rFonts w:ascii="仿宋_GB2312" w:hAnsi="仿宋_GB2312" w:cs="仿宋_GB2312" w:eastAsia="仿宋_GB2312"/>
        </w:rPr>
        <w:t>地址：西安市未央区明光路58号FED创新中心A座605室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落实《国务院关于加强数字政府建设的指导意见》（国发〔2022〕14号）、《陕西省数字政府建设“十四五”规划》等文件要求，进一步支撑西安市智慧城市建设，更好地满足“一网通办、一网统管、一网协同”等业务场景需要，从全市维度夯实数字基础设施底座，深化数实融合，按照“统一规划、统一标准、统一出口管理、统一外联接入、统一安全管理、统一网络资源及运维管理”的标准，统筹整合现有网络资源，构建数字政府的坚实底座，支撑“数字西安”建设。 根据陕西省《数字政府建设十四五规划》文件要求，须强化电子政务网络统筹建设管理，促进高效共建共享，降低建设运维成本。提高电子政务外网移动接入能力，强化电子政务外网服务功能，并不断向乡镇基层延伸，在安全可控的前提下按需向企事业单位拓展。统筹建立安全高效的跨网数据传输机制，有序推进非涉密业务专网向电子政务外网整合迁移，各地区各部门原则上不再新建业务专网。 根据陕西省《电子政务外网建设指南》文件指引，形成全省架构统一、运行高效、安全可靠的新型电子政务外网网络体系，为跨层级、跨区域、跨部门网络互通、数据互通、应用协同提供支撑。分阶段推动部门非涉密业务专网向电子政务外网迁移整合或者融合互联，全省各类非涉密专网通过网络割接、业务迁移等方式，统一并入电子政务外网，建成全面覆盖、带宽充足、安全稳定的政务网络支撑体系。 根据《西安市数字政府改革建设方案》文件要求，须构建电子政务“一张网”。推进电子政务外网向社区（村）基层延伸，实现四级全覆盖；清理各级各部门分散隔离的非涉密专网；推进电子政务骨干网提速升级，为跨层级、跨部门、跨区域的网络互通、数据互通、应用协同提供支撑。 本项目应按照西安市相关发展现状及实际业务需求，合理制定西安市电子政务城域网发展建设目标，满足政策及多元化业务发展需求，支撑“数字西安”建设。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1,751,300.00</w:t>
      </w:r>
    </w:p>
    <w:p>
      <w:pPr>
        <w:pStyle w:val="null3"/>
      </w:pPr>
      <w:r>
        <w:rPr>
          <w:rFonts w:ascii="仿宋_GB2312" w:hAnsi="仿宋_GB2312" w:cs="仿宋_GB2312" w:eastAsia="仿宋_GB2312"/>
        </w:rPr>
        <w:t>采购包最高限价（元）: 1,751,300.00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2025年市数据局西安市电子政务城域网统一规划项目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1,751,300.00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标的名称：2025年市数据局西安市电子政务城域网统一规划项目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对西安市电子政务城域网现状及相关业务情况进行调研，结合国内其他城市建设经验，确定西安市电子政务城域网发展总体规划目标，明确总体建设任务，确定总体技术路线。按照相关编制规范完成西安市城域网建设规划可行性研究报告及初步设计方案编制、概预算编制。</w:t>
            </w:r>
          </w:p>
          <w:p>
            <w:pPr>
              <w:pStyle w:val="null3"/>
              <w:jc w:val="both"/>
            </w:pPr>
            <w:r>
              <w:rPr>
                <w:rFonts w:ascii="仿宋_GB2312" w:hAnsi="仿宋_GB2312" w:cs="仿宋_GB2312" w:eastAsia="仿宋_GB2312"/>
                <w:sz w:val="24"/>
              </w:rPr>
              <w:t>（一）规划涵盖范围</w:t>
            </w:r>
          </w:p>
          <w:p>
            <w:pPr>
              <w:pStyle w:val="null3"/>
              <w:jc w:val="both"/>
            </w:pPr>
            <w:r>
              <w:rPr>
                <w:rFonts w:ascii="仿宋_GB2312" w:hAnsi="仿宋_GB2312" w:cs="仿宋_GB2312" w:eastAsia="仿宋_GB2312"/>
                <w:sz w:val="24"/>
              </w:rPr>
              <w:t>本次规划设计服务范围涵盖城市光网底座规划、城市业务网规划（包括市电子政务网、公安视频网、城市算力网、城市物联网、城市教育网、城市应急网、城市医疗网）、一体化网络安全规划、一体化运营运维规划等，需结合西安市发展现状及需求，输出2026至2028年西安市城域网三年建设规划。</w:t>
            </w:r>
          </w:p>
          <w:p>
            <w:pPr>
              <w:pStyle w:val="null3"/>
              <w:jc w:val="both"/>
            </w:pPr>
            <w:r>
              <w:rPr>
                <w:rFonts w:ascii="仿宋_GB2312" w:hAnsi="仿宋_GB2312" w:cs="仿宋_GB2312" w:eastAsia="仿宋_GB2312"/>
                <w:sz w:val="24"/>
              </w:rPr>
              <w:t>（二）规划服务内容</w:t>
            </w:r>
          </w:p>
          <w:p>
            <w:pPr>
              <w:pStyle w:val="null3"/>
              <w:jc w:val="both"/>
            </w:pPr>
            <w:r>
              <w:rPr>
                <w:rFonts w:ascii="仿宋_GB2312" w:hAnsi="仿宋_GB2312" w:cs="仿宋_GB2312" w:eastAsia="仿宋_GB2312"/>
                <w:sz w:val="24"/>
              </w:rPr>
              <w:t>（1）国内城市调研。针对国内城市电子政务城域网建设经验丰富、运行效果良好的城市，牵头组织项目核心团队现场考察，了解项目设计及建设过程中涉及的重点、难点，为本项目提供经验支撑。</w:t>
            </w:r>
          </w:p>
          <w:p>
            <w:pPr>
              <w:pStyle w:val="null3"/>
              <w:jc w:val="both"/>
            </w:pPr>
            <w:r>
              <w:rPr>
                <w:rFonts w:ascii="仿宋_GB2312" w:hAnsi="仿宋_GB2312" w:cs="仿宋_GB2312" w:eastAsia="仿宋_GB2312"/>
                <w:sz w:val="24"/>
              </w:rPr>
              <w:t>（2）专家团队支撑。邀请业内权威专家参与设计规划服务工作，针对政策分析、现状调研与分析、需求及必要性分析、总体规划与设计及方案评审等内容提供专业指导意见。</w:t>
            </w:r>
          </w:p>
          <w:p>
            <w:pPr>
              <w:pStyle w:val="null3"/>
              <w:jc w:val="both"/>
            </w:pPr>
            <w:r>
              <w:rPr>
                <w:rFonts w:ascii="仿宋_GB2312" w:hAnsi="仿宋_GB2312" w:cs="仿宋_GB2312" w:eastAsia="仿宋_GB2312"/>
                <w:sz w:val="24"/>
              </w:rPr>
              <w:t>（3）可行性研究报告编制。结合现状及需求，从政策、经济、技术、管理四个方面可行性提供详细论证。主要工作内容包含现状调研分析、需求分析、差距分析、必要性分析、可行性分析、总体技术路线确定、总体技术框架确定、三年总体建设规划、建设内容确定、项目进度规划、项目整体造价估算、项目风险及效益分析等。</w:t>
            </w:r>
          </w:p>
          <w:p>
            <w:pPr>
              <w:pStyle w:val="null3"/>
              <w:jc w:val="both"/>
            </w:pPr>
            <w:r>
              <w:rPr>
                <w:rFonts w:ascii="仿宋_GB2312" w:hAnsi="仿宋_GB2312" w:cs="仿宋_GB2312" w:eastAsia="仿宋_GB2312"/>
                <w:sz w:val="24"/>
              </w:rPr>
              <w:t>（4）初步设计方案编制。依据可行性研究报告成果，从技术方案落地实施角度出发，编制初步设计文件及相关概预算。主要工作内容包含现场勘察、图纸绘制、技术框架详细设计、项目建设内容详细技术设计、进度详细规划、招标规划、编制项目概预算等，为项目建设提供依据。</w:t>
            </w:r>
          </w:p>
          <w:p>
            <w:pPr>
              <w:pStyle w:val="null3"/>
              <w:jc w:val="both"/>
            </w:pPr>
            <w:r>
              <w:rPr>
                <w:rFonts w:ascii="仿宋_GB2312" w:hAnsi="仿宋_GB2312" w:cs="仿宋_GB2312" w:eastAsia="仿宋_GB2312"/>
                <w:sz w:val="24"/>
              </w:rPr>
              <w:t>（5）施工配合。提供从开工到竣工验收全过程施工技术配合工作，协调施工过程中有关设计的问题，负责施工现场指导，并从设计角度进行施工监督。负责处理现场设计变更，协助施工单位完成竣工验收资料，参加隐蔽工程验收和竣工验收。</w:t>
            </w:r>
          </w:p>
          <w:p>
            <w:pPr>
              <w:pStyle w:val="null3"/>
              <w:jc w:val="both"/>
            </w:pPr>
            <w:r>
              <w:rPr>
                <w:rFonts w:ascii="仿宋_GB2312" w:hAnsi="仿宋_GB2312" w:cs="仿宋_GB2312" w:eastAsia="仿宋_GB2312"/>
                <w:sz w:val="24"/>
              </w:rPr>
              <w:t>（三）规划服务要求</w:t>
            </w:r>
          </w:p>
          <w:p>
            <w:pPr>
              <w:pStyle w:val="null3"/>
              <w:jc w:val="both"/>
            </w:pPr>
            <w:r>
              <w:rPr>
                <w:rFonts w:ascii="仿宋_GB2312" w:hAnsi="仿宋_GB2312" w:cs="仿宋_GB2312" w:eastAsia="仿宋_GB2312"/>
                <w:sz w:val="24"/>
              </w:rPr>
              <w:t>1.技术要求</w:t>
            </w:r>
          </w:p>
          <w:p>
            <w:pPr>
              <w:pStyle w:val="null3"/>
              <w:jc w:val="both"/>
            </w:pPr>
            <w:r>
              <w:rPr>
                <w:rFonts w:ascii="仿宋_GB2312" w:hAnsi="仿宋_GB2312" w:cs="仿宋_GB2312" w:eastAsia="仿宋_GB2312"/>
                <w:sz w:val="24"/>
              </w:rPr>
              <w:t>项目初步设计方案编制成果必须符合国家及省市现行有关规范要求，以项目建设单位提供的规划设计要点和有关资料按现行设计规范、标准完成本项目的方案初步设计报告编制、投资概算编制等，确保通过有关部门审查。</w:t>
            </w:r>
          </w:p>
          <w:p>
            <w:pPr>
              <w:pStyle w:val="null3"/>
              <w:jc w:val="both"/>
            </w:pPr>
            <w:r>
              <w:rPr>
                <w:rFonts w:ascii="仿宋_GB2312" w:hAnsi="仿宋_GB2312" w:cs="仿宋_GB2312" w:eastAsia="仿宋_GB2312"/>
                <w:sz w:val="24"/>
              </w:rPr>
              <w:t>配合项目建设单位向职能部门申报立项，提供管理程序必须的技术文件及办理有关的报批手续，并按照要求准备汇报材料。配备足够数量的技术人员提供现场技术服务等工作，并保证设计变更满足施工进度要求，并需服务至项目建设完成并通过验收。</w:t>
            </w:r>
          </w:p>
          <w:p>
            <w:pPr>
              <w:pStyle w:val="null3"/>
              <w:jc w:val="both"/>
            </w:pPr>
            <w:r>
              <w:rPr>
                <w:rFonts w:ascii="仿宋_GB2312" w:hAnsi="仿宋_GB2312" w:cs="仿宋_GB2312" w:eastAsia="仿宋_GB2312"/>
                <w:sz w:val="24"/>
              </w:rPr>
              <w:t>提供所有文字和图表等的纸质文件、电子版文件。保证使用方在使用该成果文件或其任何一部分时，不受第三方侵权指控。保证不向第三方泄露采购人或采购代理机构提供的技术文件等资料。</w:t>
            </w:r>
          </w:p>
          <w:p>
            <w:pPr>
              <w:pStyle w:val="null3"/>
              <w:jc w:val="both"/>
            </w:pPr>
            <w:r>
              <w:rPr>
                <w:rFonts w:ascii="仿宋_GB2312" w:hAnsi="仿宋_GB2312" w:cs="仿宋_GB2312" w:eastAsia="仿宋_GB2312"/>
                <w:sz w:val="24"/>
              </w:rPr>
              <w:t>2.人员要求</w:t>
            </w:r>
          </w:p>
          <w:p>
            <w:pPr>
              <w:pStyle w:val="null3"/>
              <w:jc w:val="both"/>
            </w:pPr>
            <w:r>
              <w:rPr>
                <w:rFonts w:ascii="仿宋_GB2312" w:hAnsi="仿宋_GB2312" w:cs="仿宋_GB2312" w:eastAsia="仿宋_GB2312"/>
                <w:sz w:val="24"/>
              </w:rPr>
              <w:t>项目组至少需由以下几类成员组成：</w:t>
            </w:r>
          </w:p>
          <w:p>
            <w:pPr>
              <w:pStyle w:val="null3"/>
              <w:jc w:val="both"/>
            </w:pPr>
            <w:r>
              <w:rPr>
                <w:rFonts w:ascii="仿宋_GB2312" w:hAnsi="仿宋_GB2312" w:cs="仿宋_GB2312" w:eastAsia="仿宋_GB2312"/>
                <w:sz w:val="24"/>
              </w:rPr>
              <w:t>（1）专家顾问（不少于6人，高级工程师）。负责业务场景、系统架构、系统设计等关键点的制定，项目关键技术问题的论证；提供设计咨询、指导和建议。具备丰富的国家、省级电子政务、智慧城市规划设计、省级电子政务公共平台顶层设计或者大型集团型企业信息化规划设计等类似项目的设计经验。</w:t>
            </w:r>
          </w:p>
          <w:p>
            <w:pPr>
              <w:pStyle w:val="null3"/>
              <w:jc w:val="both"/>
            </w:pPr>
            <w:r>
              <w:rPr>
                <w:rFonts w:ascii="仿宋_GB2312" w:hAnsi="仿宋_GB2312" w:cs="仿宋_GB2312" w:eastAsia="仿宋_GB2312"/>
                <w:sz w:val="24"/>
              </w:rPr>
              <w:t>（2）项目经理（1人，高级工程师）。具有较强的沟通协调能力、专业的管理经验，有10年以上的从业经验，曾负责和参与多个大型网络及信息化系统项目规划和实施。负责整个设计全过程的所有管理职责，保证总体进度和各职能组的工作质量和进度，定期了解和检查各组的完成情况和设计质量，定期向工作小组汇报项目进展情况，参与重大问题协调及决策。</w:t>
            </w:r>
          </w:p>
          <w:p>
            <w:pPr>
              <w:pStyle w:val="null3"/>
              <w:jc w:val="both"/>
            </w:pPr>
            <w:r>
              <w:rPr>
                <w:rFonts w:ascii="仿宋_GB2312" w:hAnsi="仿宋_GB2312" w:cs="仿宋_GB2312" w:eastAsia="仿宋_GB2312"/>
                <w:sz w:val="24"/>
              </w:rPr>
              <w:t>（3）方案编制人员（不少于7人，工程师）。具备丰富的电子政务网络、智慧城市等相关设计与方案编制经验。负责项目现状及需求调研，调研西安市电子政务网络及各委办局的网络现状、业务需求调研和分析，并展开相关内容的设计及方案编制工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本项目服务周期为自合同签订后至向建设服务商完成设计交底工作，其中成果输出周期为180天，具体起始时间以与服务商合同签订时间为准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服务商成交并签订合同后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服务商提供的可行性研究报告、初步设计文件通过市数据局组织的专家评审并提交终稿后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项目完成建设招标，服务商完成设计交底工作后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经审计的财务报告（包括“四表一注”，即资产负债表、利润表、现金流量表、所有者权益变动表及其附注，成立时间至提交响应文件截止时间不足一年的可提供成立后任意时段的资产负债表），或其磋商前六个月内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 被授权人参与磋商时需提供法定代表人或负责人授权委托书（附法定代表人或负责人及被授权人身份证复印件）；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供应商须同时具备工程设计电子通信广电行业（通信工程）乙级及以上资质证书 、工程勘察专业类（工程测量）乙级及以上资质证书。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月1日至投标截止时间独立承揽的类似项目业绩。需提供相关业绩合同关键页（至少包括合同的甲乙双方、合同详细标的和双方签章，每提供一个得1分，本项最多得4分。（提供合同加盖投标供应商公章的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管理体系认证</w:t>
            </w:r>
          </w:p>
        </w:tc>
        <w:tc>
          <w:tcPr>
            <w:tcW w:type="dxa" w:w="2492"/>
          </w:tcPr>
          <w:p>
            <w:pPr>
              <w:pStyle w:val="null3"/>
            </w:pPr>
            <w:r>
              <w:rPr>
                <w:rFonts w:ascii="仿宋_GB2312" w:hAnsi="仿宋_GB2312" w:cs="仿宋_GB2312" w:eastAsia="仿宋_GB2312"/>
              </w:rPr>
              <w:t>1.具有ISO9001质量管理体系认证证书得1分； 2.具有ISO14001环境管理体系认证证书得1分； 3.具有ITSS信息技术服务标准符合性证书（咨询设计）得1分； 4.具有ISO20000信息技术服务管理体系认证证书得1分； 5.具有ISO27001信息安全管理体系认证证书得1分。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管理体系认证.docx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1、具有高级工程师及以上职称，得0.5分； 2、具有计算机、电子、通信或信息系统相关专业研究生及以上学历的，得0.5分； 3、具备近三年（2022年1月1日至今）以项目负责人身份主持过类似项目设计文件编制经验，每提供一个符合要求的项目证明材料得1分，最高得3分； 【证明材料：1.人员信息表（格式自拟）；2.学历证明复印件；3.职称证书复印件；4.工作经验证明（如提供的证明材料为合同，应至少包含合同首页、金额页、关键页、盖章页），5.投标近3个月内任意一月社保缴纳证明</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项目负责人及项目团队配置.docx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按数据、传输、机房配套3个专业，具体如下： 1、各专业负责人具备相关专业本科及以上学历且高级工程师职称，每个专业负责人满足得0.5分，最高得1.5分； 2、提供项目组成员，具备相关专业本科以上学历人员，每个得0.5分，最高得4分； 3、专业负责人具备近三年（2022年1月1日至今）参与过类似项目经验，每有一人得0.5分最高得1.5分； 【证明材料】：1.人员信息表（格式自拟）；2.学历证明复印件、职称证书复印件；3.工作经验证明（如提供的证明材料为合同，应至少包含合同首页、金额页、关键页、盖章页），4.投标近3个月任意一月社保缴纳证明</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项目负责人及项目团队配置.docx</w:t>
            </w:r>
          </w:p>
        </w:tc>
      </w:tr>
      <w:tr>
        <w:tc>
          <w:tcPr>
            <w:tcW w:type="dxa" w:w="831"/>
            <w:vMerge/>
          </w:tcPr>
          <w:p/>
        </w:tc>
        <w:tc>
          <w:tcPr>
            <w:tcW w:type="dxa" w:w="1661"/>
          </w:tcPr>
          <w:p>
            <w:pPr>
              <w:pStyle w:val="null3"/>
            </w:pPr>
            <w:r>
              <w:rPr>
                <w:rFonts w:ascii="仿宋_GB2312" w:hAnsi="仿宋_GB2312" w:cs="仿宋_GB2312" w:eastAsia="仿宋_GB2312"/>
              </w:rPr>
              <w:t>项目整体理解</w:t>
            </w:r>
          </w:p>
        </w:tc>
        <w:tc>
          <w:tcPr>
            <w:tcW w:type="dxa" w:w="2492"/>
          </w:tcPr>
          <w:p>
            <w:pPr>
              <w:pStyle w:val="null3"/>
            </w:pPr>
            <w:r>
              <w:rPr>
                <w:rFonts w:ascii="仿宋_GB2312" w:hAnsi="仿宋_GB2312" w:cs="仿宋_GB2312" w:eastAsia="仿宋_GB2312"/>
              </w:rPr>
              <w:t>对本项目整体理解与现状分析情况进行评分。 1、项目整体理解内容完整、现状分析透彻、理解程度高得 6分; 2、项目整体理解内容有针对性，现状分析一般，但尚有可以优化空间得 3分； 3、项目整体理解不完善、表述前后不一致、套用其他项目内容等得 1分；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项目整体理解.docx</w:t>
            </w:r>
          </w:p>
        </w:tc>
      </w:tr>
      <w:tr>
        <w:tc>
          <w:tcPr>
            <w:tcW w:type="dxa" w:w="831"/>
            <w:vMerge/>
          </w:tcPr>
          <w:p/>
        </w:tc>
        <w:tc>
          <w:tcPr>
            <w:tcW w:type="dxa" w:w="1661"/>
          </w:tcPr>
          <w:p>
            <w:pPr>
              <w:pStyle w:val="null3"/>
            </w:pPr>
            <w:r>
              <w:rPr>
                <w:rFonts w:ascii="仿宋_GB2312" w:hAnsi="仿宋_GB2312" w:cs="仿宋_GB2312" w:eastAsia="仿宋_GB2312"/>
              </w:rPr>
              <w:t>项目现状与需求分析</w:t>
            </w:r>
          </w:p>
        </w:tc>
        <w:tc>
          <w:tcPr>
            <w:tcW w:type="dxa" w:w="2492"/>
          </w:tcPr>
          <w:p>
            <w:pPr>
              <w:pStyle w:val="null3"/>
            </w:pPr>
            <w:r>
              <w:rPr>
                <w:rFonts w:ascii="仿宋_GB2312" w:hAnsi="仿宋_GB2312" w:cs="仿宋_GB2312" w:eastAsia="仿宋_GB2312"/>
              </w:rPr>
              <w:t>投标供应商应充分理解本项目的业务需求及目标，提出的设计咨询过程和方法体系进行评审：过程清晰准确，方法科学合理，可操作性强。提供多维度信息化现状分析与评估评价模式需求分析详细，建设目标清晰，提供6个以上维度评估方法。 描述完整详细具体的，计10分； 描述不完整详尽的，计7分； 描述有缺漏且不完整详尽的，计3分。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项目现状与需求分析.docx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采购需求，按照全市“统一规划、统一标准、统一出口管理、统一外联接入、统一安全管理、统一网络资源及运维管理”的标准进行设计，方案中需针对城市光网底座规划、城市业务网规划、一体化网络安全规划、一体化运营运维规划，给出必要性及可行性分析。根据中省市相关规范要求，提出总体技术路线、总体建设框架、总体建设内容等。按照可落地实施原则，给出市电子政务网、公安视频网、城市算力网、城市物联网、城市教育网、城市应急网、城市医疗网规划及建设思路。 1、对技术方案的设计内容、设计思路及设计大纲等进行评分。 （1）设计内容、思路、大纲等清晰明确，内容合理，可行性强，得10分； （2）方案基本清晰，内容基本合理，可行性一般，得7分； （3）方案简单，不够清晰，内容合理性差，可行性不强，3分； （4）未提供不得分。 2、对技术方案的建设目标，架构设计、建设内容等进行评分。 （1）方案建设目标清晰明确，架构设计科学合理，可行性强，得10分； （2）方案基本清晰，内容基本合理，可行性一般，得7分； （3）方案简单，不够清晰，内容合理性差，可行性不强，3分； （4）未提供不得分。 3、对技术方案中城市光底座、城市业务网规划内容进行评分。 （1）方案规划目标清晰明确，符合实际情况，可实施性强，得10分； （2）方案基本清晰，内容基本合理，可行性一般，得7分； （3）方案简单，不够清晰，内容合理性差，可行性不强，3分； （4）未提供不得分。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服务质量与进度措施</w:t>
            </w:r>
          </w:p>
        </w:tc>
        <w:tc>
          <w:tcPr>
            <w:tcW w:type="dxa" w:w="2492"/>
          </w:tcPr>
          <w:p>
            <w:pPr>
              <w:pStyle w:val="null3"/>
            </w:pPr>
            <w:r>
              <w:rPr>
                <w:rFonts w:ascii="仿宋_GB2312" w:hAnsi="仿宋_GB2312" w:cs="仿宋_GB2312" w:eastAsia="仿宋_GB2312"/>
              </w:rPr>
              <w:t>对技术方案中服务质量与进度措施进行评分。 （1）质量保证措施的方案合理，工作计划和进度规划合理、切实可行，得5分； （2）质量保证措施和进度计划，基本合理，可行性一般，得3分； （3）方案简单，不够清晰，内容合理性差，可行性不强，2分；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服务质量与进度措施.docx</w:t>
            </w:r>
          </w:p>
        </w:tc>
      </w:tr>
      <w:tr>
        <w:tc>
          <w:tcPr>
            <w:tcW w:type="dxa" w:w="831"/>
            <w:vMerge/>
          </w:tcPr>
          <w:p/>
        </w:tc>
        <w:tc>
          <w:tcPr>
            <w:tcW w:type="dxa" w:w="1661"/>
          </w:tcPr>
          <w:p>
            <w:pPr>
              <w:pStyle w:val="null3"/>
            </w:pPr>
            <w:r>
              <w:rPr>
                <w:rFonts w:ascii="仿宋_GB2312" w:hAnsi="仿宋_GB2312" w:cs="仿宋_GB2312" w:eastAsia="仿宋_GB2312"/>
              </w:rPr>
              <w:t>概预算编制方法及依据</w:t>
            </w:r>
          </w:p>
        </w:tc>
        <w:tc>
          <w:tcPr>
            <w:tcW w:type="dxa" w:w="2492"/>
          </w:tcPr>
          <w:p>
            <w:pPr>
              <w:pStyle w:val="null3"/>
            </w:pPr>
            <w:r>
              <w:rPr>
                <w:rFonts w:ascii="仿宋_GB2312" w:hAnsi="仿宋_GB2312" w:cs="仿宋_GB2312" w:eastAsia="仿宋_GB2312"/>
              </w:rPr>
              <w:t>对技术方案中概预算编制方法及依据进行评分。 （1）项目概算编制方法及依据符合国家、行业、专业要求，编制方法科学合理，内容完整详实，符合项目实际需求的，5分； （2）项目概算编制方法及依据有不足，或与本项目实际需求有部分不符的，3分。 （3）未提供或提供的方法及依据与本项目实际需求不符，得0分。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概预算编制方法及依据.docx</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对项目重点难点分析及合理化建议内容进行评分。 （1）项目重点难点分析符合实际情况，合理化建议有效可行，5分； （2）项目重点难点分析基本符合实际情况，合理化建议可行性一般，3分。 （3）未提供或提供分析内容及建议与本项目实际需求不符，得0分。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重点难点分析及合理化建议.docx</w:t>
            </w:r>
          </w:p>
        </w:tc>
      </w:tr>
      <w:tr>
        <w:tc>
          <w:tcPr>
            <w:tcW w:type="dxa" w:w="831"/>
            <w:vMerge/>
          </w:tcPr>
          <w:p/>
        </w:tc>
        <w:tc>
          <w:tcPr>
            <w:tcW w:type="dxa" w:w="1661"/>
          </w:tcPr>
          <w:p>
            <w:pPr>
              <w:pStyle w:val="null3"/>
            </w:pPr>
            <w:r>
              <w:rPr>
                <w:rFonts w:ascii="仿宋_GB2312" w:hAnsi="仿宋_GB2312" w:cs="仿宋_GB2312" w:eastAsia="仿宋_GB2312"/>
              </w:rPr>
              <w:t>应急措施与变更措施</w:t>
            </w:r>
          </w:p>
        </w:tc>
        <w:tc>
          <w:tcPr>
            <w:tcW w:type="dxa" w:w="2492"/>
          </w:tcPr>
          <w:p>
            <w:pPr>
              <w:pStyle w:val="null3"/>
            </w:pPr>
            <w:r>
              <w:rPr>
                <w:rFonts w:ascii="仿宋_GB2312" w:hAnsi="仿宋_GB2312" w:cs="仿宋_GB2312" w:eastAsia="仿宋_GB2312"/>
              </w:rPr>
              <w:t>对技术方案中应急措施与变更措施内容进行评分。 （1）技术方案中项目风险分析全面，应急措施及变更合规有力，可行性强，5分； （2）技术方案中项目风险分析一般，应急措施及变更基本合理，可行性一般，3分。 （3）未提供或提供的内容与本项目实际需求不符，得0分。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应急措施与变更措施.docx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对技术方案中售后服务承诺进行评分。 （1）售后服务方案描述完整、详细、科学、可行性强得 4分； （2）售后服务方案内容有针对性，但尚有可以优化空间得 2分； （3）售后服务方案内容不完善、表述前后不一致、套用其他项目内容等得 1分；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详见附件：管理体系认证.docx</w:t>
      </w:r>
    </w:p>
    <w:p>
      <w:pPr>
        <w:pStyle w:val="null3"/>
        <w:ind w:firstLine="960"/>
      </w:pPr>
      <w:r>
        <w:rPr>
          <w:rFonts w:ascii="仿宋_GB2312" w:hAnsi="仿宋_GB2312" w:cs="仿宋_GB2312" w:eastAsia="仿宋_GB2312"/>
        </w:rPr>
        <w:t>详见附件：项目负责人及项目团队配置.docx</w:t>
      </w:r>
    </w:p>
    <w:p>
      <w:pPr>
        <w:pStyle w:val="null3"/>
        <w:ind w:firstLine="960"/>
      </w:pPr>
      <w:r>
        <w:rPr>
          <w:rFonts w:ascii="仿宋_GB2312" w:hAnsi="仿宋_GB2312" w:cs="仿宋_GB2312" w:eastAsia="仿宋_GB2312"/>
        </w:rPr>
        <w:t>详见附件：项目整体理解.docx</w:t>
      </w:r>
    </w:p>
    <w:p>
      <w:pPr>
        <w:pStyle w:val="null3"/>
        <w:ind w:firstLine="960"/>
      </w:pPr>
      <w:r>
        <w:rPr>
          <w:rFonts w:ascii="仿宋_GB2312" w:hAnsi="仿宋_GB2312" w:cs="仿宋_GB2312" w:eastAsia="仿宋_GB2312"/>
        </w:rPr>
        <w:t>详见附件：项目现状与需求分析.docx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详见附件：服务质量与进度措施.docx</w:t>
      </w:r>
    </w:p>
    <w:p>
      <w:pPr>
        <w:pStyle w:val="null3"/>
        <w:ind w:firstLine="960"/>
      </w:pPr>
      <w:r>
        <w:rPr>
          <w:rFonts w:ascii="仿宋_GB2312" w:hAnsi="仿宋_GB2312" w:cs="仿宋_GB2312" w:eastAsia="仿宋_GB2312"/>
        </w:rPr>
        <w:t>详见附件：概预算编制方法及依据.docx</w:t>
      </w:r>
    </w:p>
    <w:p>
      <w:pPr>
        <w:pStyle w:val="null3"/>
        <w:ind w:firstLine="960"/>
      </w:pPr>
      <w:r>
        <w:rPr>
          <w:rFonts w:ascii="仿宋_GB2312" w:hAnsi="仿宋_GB2312" w:cs="仿宋_GB2312" w:eastAsia="仿宋_GB2312"/>
        </w:rPr>
        <w:t>详见附件：应急措施与变更措施.docx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详见附件：重点难点分析及合理化建议.docx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