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BF565">
      <w:pPr>
        <w:pStyle w:val="2"/>
        <w:jc w:val="center"/>
        <w:rPr>
          <w:rFonts w:ascii="黑体" w:hAnsi="黑体" w:eastAsia="黑体" w:cs="Times New Roman"/>
          <w:bCs w:val="0"/>
          <w:color w:val="auto"/>
        </w:rPr>
      </w:pPr>
      <w:r>
        <w:rPr>
          <w:rFonts w:hint="eastAsia" w:ascii="黑体" w:hAnsi="黑体" w:eastAsia="黑体" w:cs="Times New Roman"/>
          <w:bCs w:val="0"/>
          <w:color w:val="auto"/>
        </w:rPr>
        <w:t>合同草案条款</w:t>
      </w:r>
      <w:bookmarkStart w:id="3" w:name="_GoBack"/>
      <w:bookmarkEnd w:id="3"/>
    </w:p>
    <w:p w14:paraId="7D781060">
      <w:pPr>
        <w:adjustRightInd w:val="0"/>
        <w:snapToGrid w:val="0"/>
        <w:spacing w:line="560" w:lineRule="exact"/>
        <w:ind w:firstLine="402" w:firstLineChars="200"/>
        <w:rPr>
          <w:rFonts w:hint="eastAsia" w:ascii="仿宋_GB2312" w:hAnsi="宋体" w:eastAsia="仿宋_GB2312" w:cs="Times New Roman"/>
          <w:color w:val="auto"/>
          <w:sz w:val="20"/>
          <w:szCs w:val="20"/>
        </w:rPr>
      </w:pPr>
      <w:r>
        <w:rPr>
          <w:rFonts w:hint="eastAsia" w:ascii="仿宋_GB2312" w:hAnsi="宋体" w:eastAsia="仿宋_GB2312" w:cs="Times New Roman"/>
          <w:b/>
          <w:color w:val="auto"/>
          <w:sz w:val="20"/>
          <w:szCs w:val="20"/>
        </w:rPr>
        <w:t>甲方：</w:t>
      </w:r>
      <w:r>
        <w:rPr>
          <w:rFonts w:hint="eastAsia" w:ascii="仿宋_GB2312" w:hAnsi="宋体" w:eastAsia="仿宋_GB2312" w:cs="Times New Roman"/>
          <w:bCs/>
          <w:color w:val="auto"/>
          <w:sz w:val="20"/>
          <w:szCs w:val="20"/>
        </w:rPr>
        <w:t>（</w:t>
      </w:r>
      <w:r>
        <w:rPr>
          <w:rFonts w:hint="eastAsia" w:ascii="仿宋_GB2312" w:hAnsi="宋体" w:eastAsia="仿宋_GB2312" w:cs="Times New Roman"/>
          <w:color w:val="auto"/>
          <w:sz w:val="20"/>
          <w:szCs w:val="20"/>
        </w:rPr>
        <w:t xml:space="preserve">采购人） </w:t>
      </w:r>
    </w:p>
    <w:p w14:paraId="420B958B">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联系人：</w:t>
      </w:r>
    </w:p>
    <w:p w14:paraId="36183E42">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联系方式：</w:t>
      </w:r>
    </w:p>
    <w:p w14:paraId="4489088B">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 xml:space="preserve">住址：       </w:t>
      </w:r>
    </w:p>
    <w:p w14:paraId="5BE80623">
      <w:pPr>
        <w:adjustRightInd w:val="0"/>
        <w:snapToGrid w:val="0"/>
        <w:spacing w:line="560" w:lineRule="exact"/>
        <w:ind w:firstLine="402" w:firstLineChars="200"/>
        <w:rPr>
          <w:rFonts w:hint="eastAsia" w:ascii="仿宋_GB2312" w:hAnsi="宋体" w:eastAsia="仿宋_GB2312" w:cs="Times New Roman"/>
          <w:color w:val="auto"/>
          <w:sz w:val="20"/>
          <w:szCs w:val="20"/>
        </w:rPr>
      </w:pPr>
      <w:r>
        <w:rPr>
          <w:rFonts w:hint="eastAsia" w:ascii="仿宋_GB2312" w:hAnsi="宋体" w:eastAsia="仿宋_GB2312" w:cs="Times New Roman"/>
          <w:b/>
          <w:color w:val="auto"/>
          <w:sz w:val="20"/>
          <w:szCs w:val="20"/>
        </w:rPr>
        <w:t>乙方：</w:t>
      </w:r>
      <w:r>
        <w:rPr>
          <w:rFonts w:hint="eastAsia" w:ascii="仿宋_GB2312" w:hAnsi="宋体" w:eastAsia="仿宋_GB2312" w:cs="Times New Roman"/>
          <w:color w:val="auto"/>
          <w:sz w:val="20"/>
          <w:szCs w:val="20"/>
        </w:rPr>
        <w:t>（供应商）</w:t>
      </w:r>
    </w:p>
    <w:p w14:paraId="3451A4AA">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联系人：</w:t>
      </w:r>
    </w:p>
    <w:p w14:paraId="265EA1F1">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联系方式：</w:t>
      </w:r>
    </w:p>
    <w:p w14:paraId="30A6C258">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住址：</w:t>
      </w:r>
    </w:p>
    <w:p w14:paraId="6D2BE39D">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一、合同内容</w:t>
      </w:r>
    </w:p>
    <w:p w14:paraId="34F9D225">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（标的、数量、质量等）</w:t>
      </w:r>
    </w:p>
    <w:p w14:paraId="7EA9AD73">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二、合同价款</w:t>
      </w:r>
    </w:p>
    <w:p w14:paraId="382DC88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1、合同总价</w:t>
      </w:r>
      <w:r>
        <w:rPr>
          <w:rFonts w:hint="eastAsia" w:ascii="仿宋_GB2312" w:hAnsi="宋体" w:eastAsia="仿宋_GB2312" w:cs="Times New Roman"/>
          <w:color w:val="auto"/>
          <w:sz w:val="20"/>
          <w:szCs w:val="20"/>
          <w:lang w:eastAsia="zh-CN"/>
        </w:rPr>
        <w:t>（</w:t>
      </w:r>
      <w:r>
        <w:rPr>
          <w:rFonts w:hint="eastAsia" w:ascii="仿宋_GB2312" w:hAnsi="宋体" w:eastAsia="仿宋_GB2312" w:cs="Times New Roman"/>
          <w:color w:val="auto"/>
          <w:sz w:val="20"/>
          <w:szCs w:val="20"/>
          <w:lang w:val="en-US" w:eastAsia="zh-CN"/>
        </w:rPr>
        <w:t>含税</w:t>
      </w:r>
      <w:r>
        <w:rPr>
          <w:rFonts w:hint="eastAsia" w:ascii="仿宋_GB2312" w:hAnsi="宋体" w:eastAsia="仿宋_GB2312" w:cs="Times New Roman"/>
          <w:color w:val="auto"/>
          <w:sz w:val="20"/>
          <w:szCs w:val="20"/>
          <w:lang w:eastAsia="zh-CN"/>
        </w:rPr>
        <w:t>）</w:t>
      </w:r>
      <w:r>
        <w:rPr>
          <w:rFonts w:hint="eastAsia" w:ascii="仿宋_GB2312" w:hAnsi="宋体" w:eastAsia="仿宋_GB2312" w:cs="Times New Roman"/>
          <w:color w:val="auto"/>
          <w:sz w:val="20"/>
          <w:szCs w:val="20"/>
        </w:rPr>
        <w:t>：</w:t>
      </w:r>
    </w:p>
    <w:p w14:paraId="5437CC0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2、合同总价包括：</w:t>
      </w:r>
      <w:bookmarkStart w:id="0" w:name="_Hlk178265133"/>
      <w:bookmarkEnd w:id="0"/>
      <w:r>
        <w:rPr>
          <w:rFonts w:hint="eastAsia" w:ascii="仿宋_GB2312" w:hAnsi="宋体" w:eastAsia="仿宋_GB2312" w:cs="Times New Roman"/>
          <w:color w:val="auto"/>
          <w:sz w:val="20"/>
          <w:szCs w:val="20"/>
          <w:lang w:val="en-US" w:eastAsia="zh-CN"/>
        </w:rPr>
        <w:t>完成本项目所需的所有费用</w:t>
      </w:r>
      <w:r>
        <w:rPr>
          <w:rFonts w:hint="eastAsia" w:ascii="仿宋_GB2312" w:hAnsi="宋体" w:eastAsia="仿宋_GB2312" w:cs="Times New Roman"/>
          <w:color w:val="auto"/>
          <w:sz w:val="20"/>
          <w:szCs w:val="20"/>
        </w:rPr>
        <w:t>。</w:t>
      </w:r>
    </w:p>
    <w:p w14:paraId="76DD241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3、合同总价一次包死，不受市场价变化的影响。乙方不得再要求甲方另行支付其他费用。</w:t>
      </w:r>
    </w:p>
    <w:p w14:paraId="7B0EF2BF">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三、合同结算</w:t>
      </w:r>
    </w:p>
    <w:p w14:paraId="4C197900">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1、资金支付条件及时间：</w:t>
      </w:r>
    </w:p>
    <w:p w14:paraId="64969A78">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合同签订且供应商开具增值税正式发票后，达到付款条件起</w:t>
      </w:r>
      <w:r>
        <w:rPr>
          <w:rFonts w:hint="eastAsia" w:ascii="仿宋_GB2312" w:hAnsi="宋体" w:eastAsia="仿宋_GB2312" w:cs="Times New Roman"/>
          <w:color w:val="auto"/>
          <w:sz w:val="20"/>
          <w:szCs w:val="20"/>
          <w:lang w:val="en-US" w:eastAsia="zh-CN"/>
        </w:rPr>
        <w:t>30</w:t>
      </w:r>
      <w:r>
        <w:rPr>
          <w:rFonts w:hint="eastAsia" w:ascii="仿宋_GB2312" w:hAnsi="宋体" w:eastAsia="仿宋_GB2312" w:cs="Times New Roman"/>
          <w:color w:val="auto"/>
          <w:sz w:val="20"/>
          <w:szCs w:val="20"/>
        </w:rPr>
        <w:t>日内，支付合同总金额的</w:t>
      </w:r>
      <w:r>
        <w:rPr>
          <w:rFonts w:hint="eastAsia" w:ascii="仿宋_GB2312" w:hAnsi="宋体" w:eastAsia="仿宋_GB2312" w:cs="Times New Roman"/>
          <w:color w:val="auto"/>
          <w:sz w:val="20"/>
          <w:szCs w:val="20"/>
          <w:lang w:val="en-US" w:eastAsia="zh-CN"/>
        </w:rPr>
        <w:t>10</w:t>
      </w:r>
      <w:r>
        <w:rPr>
          <w:rFonts w:hint="eastAsia" w:ascii="仿宋_GB2312" w:hAnsi="宋体" w:eastAsia="仿宋_GB2312" w:cs="Times New Roman"/>
          <w:color w:val="auto"/>
          <w:sz w:val="20"/>
          <w:szCs w:val="20"/>
        </w:rPr>
        <w:t>0.00%；</w:t>
      </w:r>
    </w:p>
    <w:p w14:paraId="6944561E">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2、结算方式：银行转账。</w:t>
      </w:r>
    </w:p>
    <w:p w14:paraId="6BA3F891">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3、结算单位：由</w:t>
      </w:r>
      <w:r>
        <w:rPr>
          <w:rFonts w:hint="eastAsia" w:ascii="仿宋_GB2312" w:hAnsi="宋体" w:eastAsia="仿宋_GB2312" w:cs="Times New Roman"/>
          <w:color w:val="auto"/>
          <w:sz w:val="20"/>
          <w:szCs w:val="20"/>
          <w:u w:val="single"/>
        </w:rPr>
        <w:t>甲方</w:t>
      </w:r>
      <w:r>
        <w:rPr>
          <w:rFonts w:hint="eastAsia" w:ascii="仿宋_GB2312" w:hAnsi="宋体" w:eastAsia="仿宋_GB2312" w:cs="Times New Roman"/>
          <w:color w:val="auto"/>
          <w:sz w:val="20"/>
          <w:szCs w:val="20"/>
        </w:rPr>
        <w:t>负责结算，甲方付款前，乙方开具相应结算金额的发票交甲方。</w:t>
      </w:r>
    </w:p>
    <w:p w14:paraId="0D7E4B64">
      <w:pPr>
        <w:adjustRightInd w:val="0"/>
        <w:snapToGrid w:val="0"/>
        <w:spacing w:line="560" w:lineRule="exact"/>
        <w:ind w:firstLine="400" w:firstLineChars="200"/>
        <w:rPr>
          <w:rFonts w:hint="eastAsia" w:ascii="仿宋_GB2312" w:hAnsi="宋体" w:eastAsia="仿宋_GB2312" w:cs="Times New Roman"/>
          <w:color w:val="auto"/>
          <w:sz w:val="20"/>
          <w:szCs w:val="20"/>
        </w:rPr>
      </w:pPr>
      <w:bookmarkStart w:id="1" w:name="_Hlk170482832"/>
      <w:bookmarkEnd w:id="1"/>
      <w:r>
        <w:rPr>
          <w:rFonts w:hint="eastAsia" w:ascii="仿宋_GB2312" w:hAnsi="宋体" w:eastAsia="仿宋_GB2312" w:cs="Times New Roman"/>
          <w:color w:val="auto"/>
          <w:sz w:val="20"/>
          <w:szCs w:val="20"/>
        </w:rPr>
        <w:t>4、乙方未开具足额合法发票的交甲方的，甲方有权顺延付款并不承担任何违约责任。</w:t>
      </w:r>
    </w:p>
    <w:p w14:paraId="1A2CA921">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5、如因财政拨款导致甲方无法按时支付的，乙方对此表示理解并同意待甲方收到财政拨款履行完内部审批流程后再向乙方支付合作价款，乙方不因此追究甲方任何责任。</w:t>
      </w:r>
    </w:p>
    <w:p w14:paraId="25B18BE4">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6、甲方开票信息及账户信息</w:t>
      </w:r>
    </w:p>
    <w:p w14:paraId="351F6FC2">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名称：</w:t>
      </w:r>
    </w:p>
    <w:p w14:paraId="56176E1F">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税号：</w:t>
      </w:r>
    </w:p>
    <w:p w14:paraId="1622C6B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 xml:space="preserve">地址： </w:t>
      </w:r>
    </w:p>
    <w:p w14:paraId="2CF8D0EE">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电话：</w:t>
      </w:r>
    </w:p>
    <w:p w14:paraId="7DB2B968">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开户行：</w:t>
      </w:r>
    </w:p>
    <w:p w14:paraId="072B193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账号：</w:t>
      </w:r>
    </w:p>
    <w:p w14:paraId="08EB801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7、乙方账户信息</w:t>
      </w:r>
    </w:p>
    <w:p w14:paraId="720C26B5">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名称：</w:t>
      </w:r>
    </w:p>
    <w:p w14:paraId="16C0BB4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账户：</w:t>
      </w:r>
    </w:p>
    <w:p w14:paraId="3735A40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开户行：</w:t>
      </w:r>
    </w:p>
    <w:p w14:paraId="3051568F">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四、履行期限、地点及方式：</w:t>
      </w:r>
    </w:p>
    <w:p w14:paraId="1E370458">
      <w:pPr>
        <w:adjustRightInd w:val="0"/>
        <w:snapToGrid w:val="0"/>
        <w:spacing w:line="560" w:lineRule="exact"/>
        <w:ind w:firstLine="400" w:firstLineChars="200"/>
        <w:rPr>
          <w:rFonts w:hint="eastAsia" w:ascii="仿宋_GB2312" w:hAnsi="宋体" w:eastAsia="仿宋_GB2312" w:cs="Times New Roman"/>
          <w:color w:val="auto"/>
          <w:sz w:val="20"/>
          <w:szCs w:val="20"/>
          <w:highlight w:val="none"/>
        </w:rPr>
      </w:pPr>
      <w:r>
        <w:rPr>
          <w:rFonts w:hint="eastAsia" w:ascii="仿宋_GB2312" w:hAnsi="宋体" w:eastAsia="仿宋_GB2312" w:cs="Times New Roman"/>
          <w:color w:val="auto"/>
          <w:sz w:val="20"/>
          <w:szCs w:val="20"/>
          <w:highlight w:val="none"/>
        </w:rPr>
        <w:t>1、履行期限：自合同签订之日起至2026年12月31日</w:t>
      </w:r>
    </w:p>
    <w:p w14:paraId="50D9A473">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2、地点：按照甲方要求</w:t>
      </w:r>
    </w:p>
    <w:p w14:paraId="205125CB">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3、方式：</w:t>
      </w:r>
      <w:bookmarkStart w:id="2" w:name="_Toc19515388"/>
      <w:r>
        <w:rPr>
          <w:rFonts w:hint="eastAsia" w:ascii="仿宋_GB2312" w:hAnsi="宋体" w:eastAsia="仿宋_GB2312" w:cs="Times New Roman"/>
          <w:color w:val="auto"/>
          <w:sz w:val="20"/>
          <w:szCs w:val="20"/>
        </w:rPr>
        <w:t>按照</w:t>
      </w:r>
      <w:bookmarkEnd w:id="2"/>
      <w:r>
        <w:rPr>
          <w:rFonts w:hint="eastAsia" w:ascii="仿宋_GB2312" w:hAnsi="宋体" w:eastAsia="仿宋_GB2312" w:cs="Times New Roman"/>
          <w:color w:val="auto"/>
          <w:sz w:val="20"/>
          <w:szCs w:val="20"/>
        </w:rPr>
        <w:t>甲方要求</w:t>
      </w:r>
    </w:p>
    <w:p w14:paraId="169C3BCE">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五、服务工作要求和质量保证</w:t>
      </w:r>
    </w:p>
    <w:p w14:paraId="425375F6">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各项具体工作的质量标准和作业规范，按国家相关标准、规范、甲方要求执行。</w:t>
      </w:r>
    </w:p>
    <w:p w14:paraId="50686CEE">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六、验收</w:t>
      </w:r>
    </w:p>
    <w:p w14:paraId="66FE8BDB">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1、项目完成后，由第三方负责验收。</w:t>
      </w:r>
    </w:p>
    <w:p w14:paraId="7ECBCAE6">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2、验收依据：</w:t>
      </w:r>
    </w:p>
    <w:p w14:paraId="5B878D4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1-1、合同文本、合同附件、磋商文件、响应文件。</w:t>
      </w:r>
    </w:p>
    <w:p w14:paraId="13603AC2">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1-2、国内相应的标准、规范。</w:t>
      </w:r>
    </w:p>
    <w:p w14:paraId="7B5ABAFB">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3、若验收不合格，乙方应在收到通知后10个工作日内免费完成修改并重新提交验收，因此产生的所有费用由乙方自行承担。若乙方修改后仍无法通过验收，甲方有权按照本合同第十一条的约定追究其违约责任。</w:t>
      </w:r>
    </w:p>
    <w:p w14:paraId="5C4D54FD">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七、知识产权</w:t>
      </w:r>
    </w:p>
    <w:p w14:paraId="3A624017">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lang w:val="en-US" w:eastAsia="zh-CN"/>
        </w:rPr>
        <w:t>1、</w:t>
      </w:r>
      <w:r>
        <w:rPr>
          <w:rFonts w:hint="eastAsia" w:ascii="仿宋_GB2312" w:hAnsi="宋体" w:eastAsia="仿宋_GB2312" w:cs="Times New Roman"/>
          <w:color w:val="auto"/>
          <w:sz w:val="20"/>
          <w:szCs w:val="20"/>
        </w:rPr>
        <w:t>乙方在研究过程中出现剽窃、抄袭等侵犯他人知识产权或其他合法权益的行为，由乙方承担相应责任。由此给甲方造成损失的，</w:t>
      </w:r>
      <w:r>
        <w:rPr>
          <w:rFonts w:hint="eastAsia" w:ascii="仿宋_GB2312" w:hAnsi="宋体" w:eastAsia="仿宋_GB2312" w:cs="Times New Roman"/>
          <w:color w:val="auto"/>
          <w:sz w:val="20"/>
          <w:szCs w:val="20"/>
          <w:lang w:val="en-US" w:eastAsia="zh-CN"/>
        </w:rPr>
        <w:t>乙方</w:t>
      </w:r>
      <w:r>
        <w:rPr>
          <w:rFonts w:hint="eastAsia" w:ascii="仿宋_GB2312" w:hAnsi="宋体" w:eastAsia="仿宋_GB2312" w:cs="Times New Roman"/>
          <w:color w:val="auto"/>
          <w:sz w:val="20"/>
          <w:szCs w:val="20"/>
        </w:rPr>
        <w:t>应承担由此产生的全部责任。</w:t>
      </w:r>
    </w:p>
    <w:p w14:paraId="58A23111">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2、乙方为完成本项目的服务所创作的全部成果的知识产权（包括但不限于著作权、商标权、专利权等）归甲方所有。乙方不得将成果用于其他项目或向第三方转让、许可使用，但经甲方书面同意的除外。</w:t>
      </w:r>
    </w:p>
    <w:p w14:paraId="682055F2">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八、甲方的权利和义务</w:t>
      </w:r>
    </w:p>
    <w:p w14:paraId="3D696777">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1、甲方有权督促乙方完成合同约定的所有工作内容及其工作进度；</w:t>
      </w:r>
    </w:p>
    <w:p w14:paraId="69C94BA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2、甲方应主动提供有利于项目顺利执行实施的相关资源及便利；</w:t>
      </w:r>
    </w:p>
    <w:p w14:paraId="20A893B6">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3、甲方有权向乙方提出整改建议和意见。</w:t>
      </w:r>
    </w:p>
    <w:p w14:paraId="5C14525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4、甲方负责监督、检查乙方提供服务的工作进度、质量情况。</w:t>
      </w:r>
    </w:p>
    <w:p w14:paraId="7DFDECCC">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九、乙方的权利和义务</w:t>
      </w:r>
    </w:p>
    <w:p w14:paraId="62CF023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w:t>
      </w:r>
      <w:r>
        <w:rPr>
          <w:rFonts w:hint="eastAsia" w:ascii="仿宋_GB2312" w:hAnsi="宋体" w:eastAsia="仿宋_GB2312"/>
          <w:color w:val="auto"/>
          <w:sz w:val="20"/>
          <w:szCs w:val="20"/>
        </w:rPr>
        <w:t>按照合同约定的时间、质量标准和技术规格要求提供服务，并交付符合要求的成果。</w:t>
      </w:r>
    </w:p>
    <w:p w14:paraId="2B634872">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lang w:val="en-US" w:eastAsia="zh-CN"/>
        </w:rPr>
        <w:t>2、</w:t>
      </w:r>
      <w:r>
        <w:rPr>
          <w:rFonts w:hint="eastAsia" w:ascii="仿宋_GB2312" w:hAnsi="宋体" w:eastAsia="仿宋_GB2312" w:cs="Times New Roman"/>
          <w:color w:val="auto"/>
          <w:sz w:val="20"/>
          <w:szCs w:val="20"/>
        </w:rPr>
        <w:t>对本合同规定的委托范围内的项目享有管理权及服务义务。</w:t>
      </w:r>
    </w:p>
    <w:p w14:paraId="1D98BB84">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lang w:val="en-US" w:eastAsia="zh-CN"/>
        </w:rPr>
        <w:t>3</w:t>
      </w:r>
      <w:r>
        <w:rPr>
          <w:rFonts w:hint="eastAsia" w:ascii="仿宋_GB2312" w:hAnsi="宋体" w:eastAsia="仿宋_GB2312" w:cs="Times New Roman"/>
          <w:color w:val="auto"/>
          <w:sz w:val="20"/>
          <w:szCs w:val="20"/>
        </w:rPr>
        <w:t>、根据本合同的规定向甲方收取相关服务费用，并有权在本项目管理范围内管理及使用。</w:t>
      </w:r>
    </w:p>
    <w:p w14:paraId="59CBD37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lang w:val="en-US" w:eastAsia="zh-CN"/>
        </w:rPr>
        <w:t>4</w:t>
      </w:r>
      <w:r>
        <w:rPr>
          <w:rFonts w:hint="eastAsia" w:ascii="仿宋_GB2312" w:hAnsi="宋体" w:eastAsia="仿宋_GB2312" w:cs="Times New Roman"/>
          <w:color w:val="auto"/>
          <w:sz w:val="20"/>
          <w:szCs w:val="20"/>
        </w:rPr>
        <w:t>、及时向甲方通告本项目执行范围内有关的重大事项，及时配合处理投诉。</w:t>
      </w:r>
    </w:p>
    <w:p w14:paraId="19C6D1C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lang w:val="en-US" w:eastAsia="zh-CN"/>
        </w:rPr>
        <w:t>5</w:t>
      </w:r>
      <w:r>
        <w:rPr>
          <w:rFonts w:hint="eastAsia" w:ascii="仿宋_GB2312" w:hAnsi="宋体" w:eastAsia="仿宋_GB2312" w:cs="Times New Roman"/>
          <w:color w:val="auto"/>
          <w:sz w:val="20"/>
          <w:szCs w:val="20"/>
        </w:rPr>
        <w:t>、接受项目行业管理部门及政府有关部门的指导，接受甲方的监督。</w:t>
      </w:r>
    </w:p>
    <w:p w14:paraId="01F986E8">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6、不得将本合同约定的服务事项转包、分包给任何第三方实施完成。</w:t>
      </w:r>
    </w:p>
    <w:p w14:paraId="7E1C929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lang w:val="en-US" w:eastAsia="zh-CN"/>
        </w:rPr>
        <w:t>7</w:t>
      </w:r>
      <w:r>
        <w:rPr>
          <w:rFonts w:hint="eastAsia" w:ascii="仿宋_GB2312" w:hAnsi="宋体" w:eastAsia="仿宋_GB2312" w:cs="Times New Roman"/>
          <w:color w:val="auto"/>
          <w:sz w:val="20"/>
          <w:szCs w:val="20"/>
        </w:rPr>
        <w:t>、国家法律、法规所规定由乙方承担的其它责任。</w:t>
      </w:r>
    </w:p>
    <w:p w14:paraId="13C45165">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十、保密条款</w:t>
      </w:r>
    </w:p>
    <w:p w14:paraId="383FA906">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1、乙方应妥善保管甲方所提供的有关资料，未经甲方书面同意不得泄露、发布或转让第三方，本合同的变更、解除或终止不影响乙方承担保密义务。</w:t>
      </w:r>
    </w:p>
    <w:p w14:paraId="685702B3">
      <w:pPr>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2、无论合同是否成立，</w:t>
      </w:r>
      <w:r>
        <w:rPr>
          <w:rFonts w:hint="eastAsia" w:ascii="仿宋_GB2312" w:hAnsi="宋体" w:eastAsia="仿宋_GB2312" w:cs="Arial"/>
          <w:color w:val="auto"/>
          <w:sz w:val="20"/>
          <w:szCs w:val="20"/>
        </w:rPr>
        <w:t>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0957B79A">
      <w:pPr>
        <w:spacing w:line="560" w:lineRule="exact"/>
        <w:ind w:firstLine="400" w:firstLineChars="200"/>
        <w:rPr>
          <w:rFonts w:hint="eastAsia" w:ascii="仿宋_GB2312" w:hAnsi="宋体" w:eastAsia="仿宋_GB2312" w:cs="Arial"/>
          <w:color w:val="auto"/>
          <w:sz w:val="20"/>
          <w:szCs w:val="20"/>
        </w:rPr>
      </w:pPr>
      <w:r>
        <w:rPr>
          <w:rFonts w:hint="eastAsia" w:ascii="仿宋_GB2312" w:hAnsi="宋体" w:eastAsia="仿宋_GB2312" w:cs="Arial"/>
          <w:color w:val="auto"/>
          <w:sz w:val="20"/>
          <w:szCs w:val="20"/>
        </w:rPr>
        <w:t>3、</w:t>
      </w:r>
      <w:r>
        <w:rPr>
          <w:rFonts w:hint="eastAsia" w:ascii="仿宋_GB2312" w:hAnsi="宋体" w:eastAsia="仿宋_GB2312" w:cs="Arial"/>
          <w:color w:val="auto"/>
          <w:sz w:val="20"/>
          <w:szCs w:val="20"/>
          <w:lang w:val="en-US" w:eastAsia="zh-CN"/>
        </w:rPr>
        <w:t>乙方</w:t>
      </w:r>
      <w:r>
        <w:rPr>
          <w:rFonts w:hint="eastAsia" w:ascii="仿宋_GB2312" w:hAnsi="宋体" w:eastAsia="仿宋_GB2312" w:cs="Arial"/>
          <w:color w:val="auto"/>
          <w:sz w:val="20"/>
          <w:szCs w:val="20"/>
        </w:rPr>
        <w:t>泄密或不正当使用</w:t>
      </w:r>
      <w:r>
        <w:rPr>
          <w:rFonts w:hint="eastAsia" w:ascii="仿宋_GB2312" w:hAnsi="宋体" w:eastAsia="仿宋_GB2312" w:cs="Arial"/>
          <w:color w:val="auto"/>
          <w:sz w:val="20"/>
          <w:szCs w:val="20"/>
          <w:lang w:val="en-US" w:eastAsia="zh-CN"/>
        </w:rPr>
        <w:t>甲方</w:t>
      </w:r>
      <w:r>
        <w:rPr>
          <w:rFonts w:hint="eastAsia" w:ascii="仿宋_GB2312" w:hAnsi="宋体" w:eastAsia="仿宋_GB2312" w:cs="Arial"/>
          <w:color w:val="auto"/>
          <w:sz w:val="20"/>
          <w:szCs w:val="20"/>
        </w:rPr>
        <w:t>对方商业秘密给</w:t>
      </w:r>
      <w:r>
        <w:rPr>
          <w:rFonts w:hint="eastAsia" w:ascii="仿宋_GB2312" w:hAnsi="宋体" w:eastAsia="仿宋_GB2312" w:cs="Arial"/>
          <w:color w:val="auto"/>
          <w:sz w:val="20"/>
          <w:szCs w:val="20"/>
          <w:lang w:val="en-US" w:eastAsia="zh-CN"/>
        </w:rPr>
        <w:t>甲</w:t>
      </w:r>
      <w:r>
        <w:rPr>
          <w:rFonts w:hint="eastAsia" w:ascii="仿宋_GB2312" w:hAnsi="宋体" w:eastAsia="仿宋_GB2312" w:cs="Arial"/>
          <w:color w:val="auto"/>
          <w:sz w:val="20"/>
          <w:szCs w:val="20"/>
        </w:rPr>
        <w:t>方造成损失的，应该承担赔偿责任。</w:t>
      </w:r>
    </w:p>
    <w:p w14:paraId="4D582291">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十一、违约责任</w:t>
      </w:r>
    </w:p>
    <w:p w14:paraId="0E8A3E67">
      <w:pPr>
        <w:adjustRightInd w:val="0"/>
        <w:snapToGrid w:val="0"/>
        <w:spacing w:line="560" w:lineRule="exact"/>
        <w:ind w:firstLine="400" w:firstLineChars="200"/>
        <w:rPr>
          <w:rFonts w:hint="eastAsia" w:ascii="仿宋_GB2312" w:hAnsi="宋体" w:eastAsia="仿宋_GB2312" w:cs="Times New Roman"/>
          <w:b w:val="0"/>
          <w:bCs/>
          <w:color w:val="auto"/>
          <w:sz w:val="20"/>
          <w:szCs w:val="20"/>
        </w:rPr>
      </w:pPr>
      <w:r>
        <w:rPr>
          <w:rFonts w:hint="eastAsia" w:ascii="仿宋_GB2312" w:hAnsi="宋体" w:eastAsia="仿宋_GB2312" w:cs="Times New Roman"/>
          <w:b w:val="0"/>
          <w:bCs/>
          <w:color w:val="auto"/>
          <w:sz w:val="20"/>
          <w:szCs w:val="20"/>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4648EAB3">
      <w:pPr>
        <w:adjustRightInd w:val="0"/>
        <w:snapToGrid w:val="0"/>
        <w:spacing w:line="560" w:lineRule="exact"/>
        <w:ind w:firstLine="400" w:firstLineChars="200"/>
        <w:rPr>
          <w:rFonts w:hint="eastAsia" w:ascii="仿宋_GB2312" w:hAnsi="宋体" w:eastAsia="仿宋_GB2312" w:cs="Times New Roman"/>
          <w:b w:val="0"/>
          <w:bCs/>
          <w:color w:val="auto"/>
          <w:sz w:val="20"/>
          <w:szCs w:val="20"/>
        </w:rPr>
      </w:pPr>
      <w:r>
        <w:rPr>
          <w:rFonts w:hint="eastAsia" w:ascii="仿宋_GB2312" w:hAnsi="宋体" w:eastAsia="仿宋_GB2312" w:cs="Times New Roman"/>
          <w:b w:val="0"/>
          <w:bCs/>
          <w:color w:val="auto"/>
          <w:sz w:val="20"/>
          <w:szCs w:val="20"/>
        </w:rPr>
        <w:t>2、除财政拨款导致的逾期支付外，如甲方未能在本合同约定时间内支付款项，甲乙双方协商解决。</w:t>
      </w:r>
    </w:p>
    <w:p w14:paraId="6F454168">
      <w:pPr>
        <w:adjustRightInd w:val="0"/>
        <w:snapToGrid w:val="0"/>
        <w:spacing w:line="560" w:lineRule="exact"/>
        <w:ind w:firstLine="400" w:firstLineChars="200"/>
        <w:rPr>
          <w:rFonts w:hint="eastAsia" w:ascii="仿宋_GB2312" w:hAnsi="宋体" w:eastAsia="仿宋_GB2312" w:cs="Times New Roman"/>
          <w:b w:val="0"/>
          <w:bCs/>
          <w:color w:val="auto"/>
          <w:sz w:val="20"/>
          <w:szCs w:val="20"/>
        </w:rPr>
      </w:pPr>
      <w:r>
        <w:rPr>
          <w:rFonts w:hint="eastAsia" w:ascii="仿宋_GB2312" w:hAnsi="宋体" w:eastAsia="仿宋_GB2312" w:cs="Times New Roman"/>
          <w:b w:val="0"/>
          <w:bCs/>
          <w:color w:val="auto"/>
          <w:sz w:val="20"/>
          <w:szCs w:val="20"/>
        </w:rPr>
        <w:t>3、本次活动因非因甲方原因导致侵害甲方或第三方合法权益的，应由乙方承担相应赔偿责任，并向甲方支付合同总价款10%的违约金并赔偿给甲方造成的全部损失。</w:t>
      </w:r>
    </w:p>
    <w:p w14:paraId="5D777A45">
      <w:pPr>
        <w:adjustRightInd w:val="0"/>
        <w:snapToGrid w:val="0"/>
        <w:spacing w:line="560" w:lineRule="exact"/>
        <w:ind w:firstLine="400" w:firstLineChars="200"/>
        <w:rPr>
          <w:rFonts w:hint="eastAsia" w:ascii="仿宋_GB2312" w:hAnsi="宋体" w:eastAsia="仿宋_GB2312" w:cs="Times New Roman"/>
          <w:b w:val="0"/>
          <w:bCs/>
          <w:color w:val="auto"/>
          <w:sz w:val="20"/>
          <w:szCs w:val="20"/>
        </w:rPr>
      </w:pPr>
      <w:r>
        <w:rPr>
          <w:rFonts w:hint="eastAsia" w:ascii="仿宋_GB2312" w:hAnsi="宋体" w:eastAsia="仿宋_GB2312" w:cs="Times New Roman"/>
          <w:b w:val="0"/>
          <w:bCs/>
          <w:color w:val="auto"/>
          <w:sz w:val="20"/>
          <w:szCs w:val="20"/>
        </w:rPr>
        <w:t>4、若乙方未经甲方同意泄露本合同约定的任何秘密信息的，乙方应按照不少于合同总价款的10%向甲方支付违约金，并赔偿因此给甲方造成的损失。</w:t>
      </w:r>
    </w:p>
    <w:p w14:paraId="014F1417">
      <w:pPr>
        <w:adjustRightInd w:val="0"/>
        <w:snapToGrid w:val="0"/>
        <w:spacing w:line="560" w:lineRule="exact"/>
        <w:ind w:firstLine="400" w:firstLineChars="200"/>
        <w:rPr>
          <w:rFonts w:hint="eastAsia" w:ascii="仿宋_GB2312" w:hAnsi="宋体" w:eastAsia="仿宋_GB2312" w:cs="Times New Roman"/>
          <w:b w:val="0"/>
          <w:bCs/>
          <w:color w:val="auto"/>
          <w:sz w:val="20"/>
          <w:szCs w:val="20"/>
        </w:rPr>
      </w:pPr>
      <w:r>
        <w:rPr>
          <w:rFonts w:hint="eastAsia" w:ascii="仿宋_GB2312" w:hAnsi="宋体" w:eastAsia="仿宋_GB2312" w:cs="Times New Roman"/>
          <w:b w:val="0"/>
          <w:bCs/>
          <w:color w:val="auto"/>
          <w:sz w:val="20"/>
          <w:szCs w:val="20"/>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9490313">
      <w:pPr>
        <w:adjustRightInd w:val="0"/>
        <w:snapToGrid w:val="0"/>
        <w:spacing w:line="560" w:lineRule="exact"/>
        <w:ind w:firstLine="400" w:firstLineChars="200"/>
        <w:rPr>
          <w:rFonts w:hint="eastAsia" w:ascii="仿宋_GB2312" w:hAnsi="宋体" w:eastAsia="仿宋_GB2312" w:cs="Times New Roman"/>
          <w:b w:val="0"/>
          <w:bCs/>
          <w:color w:val="auto"/>
          <w:sz w:val="20"/>
          <w:szCs w:val="20"/>
        </w:rPr>
      </w:pPr>
      <w:r>
        <w:rPr>
          <w:rFonts w:hint="eastAsia" w:ascii="仿宋_GB2312" w:hAnsi="宋体" w:eastAsia="仿宋_GB2312" w:cs="Times New Roman"/>
          <w:b w:val="0"/>
          <w:bCs/>
          <w:color w:val="auto"/>
          <w:sz w:val="20"/>
          <w:szCs w:val="20"/>
        </w:rPr>
        <w:t>6、本合同项下乙方的损失赔偿责任包括但不限于甲方的直接经济损失、间接利益损失以及诉讼费、律师费、保全费、保全保险费等全部费用。</w:t>
      </w:r>
    </w:p>
    <w:p w14:paraId="2A1FF6E8">
      <w:pPr>
        <w:adjustRightInd w:val="0"/>
        <w:snapToGrid w:val="0"/>
        <w:spacing w:line="560" w:lineRule="exact"/>
        <w:ind w:firstLine="400"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color w:val="auto"/>
          <w:sz w:val="20"/>
          <w:szCs w:val="20"/>
          <w:lang w:val="en-US" w:eastAsia="zh-CN"/>
        </w:rPr>
        <w:t xml:space="preserve"> </w:t>
      </w:r>
      <w:r>
        <w:rPr>
          <w:rFonts w:hint="eastAsia" w:ascii="仿宋_GB2312" w:hAnsi="宋体" w:eastAsia="仿宋_GB2312" w:cs="Times New Roman"/>
          <w:b/>
          <w:color w:val="auto"/>
          <w:sz w:val="20"/>
          <w:szCs w:val="20"/>
        </w:rPr>
        <w:t>十二、不可抗力事件处理</w:t>
      </w:r>
    </w:p>
    <w:p w14:paraId="014A11FF">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w:t>
      </w:r>
      <w:r>
        <w:rPr>
          <w:rFonts w:hint="eastAsia" w:ascii="仿宋_GB2312" w:hAnsi="宋体" w:eastAsia="仿宋_GB2312" w:cs="Times New Roman"/>
          <w:color w:val="auto"/>
          <w:sz w:val="20"/>
          <w:szCs w:val="20"/>
          <w:lang w:eastAsia="zh-CN"/>
        </w:rPr>
        <w:t>，但甲方为履行本合同已经发生的合理费用（如前期准备费用、已支付给乙方的款项等），由乙方在合同解除后30日内退还甲方</w:t>
      </w:r>
      <w:r>
        <w:rPr>
          <w:rFonts w:hint="eastAsia" w:ascii="仿宋_GB2312" w:hAnsi="宋体" w:eastAsia="仿宋_GB2312" w:cs="Times New Roman"/>
          <w:color w:val="auto"/>
          <w:sz w:val="20"/>
          <w:szCs w:val="20"/>
        </w:rPr>
        <w:t>。遭受不可抗力的一方应采取有效措施避免损失的扩大，否则应就扩大损失部分承担责任。</w:t>
      </w:r>
    </w:p>
    <w:p w14:paraId="5B9E7E6E">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29BB6A55">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十三、合同组成</w:t>
      </w:r>
    </w:p>
    <w:p w14:paraId="6567A064">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1、成交通知书</w:t>
      </w:r>
    </w:p>
    <w:p w14:paraId="7C6BB0C3">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2、合同文件</w:t>
      </w:r>
    </w:p>
    <w:p w14:paraId="7E89599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3、国家相关规范及标准</w:t>
      </w:r>
    </w:p>
    <w:p w14:paraId="7B9051EB">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4、竞争性磋商文件</w:t>
      </w:r>
    </w:p>
    <w:p w14:paraId="22363E9A">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5、磋商响应文件</w:t>
      </w:r>
    </w:p>
    <w:p w14:paraId="3222AF8C">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十四、解决争议的方法</w:t>
      </w:r>
    </w:p>
    <w:p w14:paraId="0D78E90D">
      <w:pPr>
        <w:widowControl/>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凡因本合同引起的或与本合同有关的争议，双方应友好协商解决。协商不成时，双方均同意采用以下第（ 1 ）种争议解决方式：</w:t>
      </w:r>
    </w:p>
    <w:p w14:paraId="71D39D63">
      <w:pPr>
        <w:widowControl/>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（1）甲、乙双方均同意向（甲方所在地人民法院）提起诉讼。</w:t>
      </w:r>
    </w:p>
    <w:p w14:paraId="1D758FA3">
      <w:pPr>
        <w:widowControl/>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（2）甲、乙双方均同意向（</w:t>
      </w:r>
      <w:r>
        <w:rPr>
          <w:color w:val="auto"/>
        </w:rPr>
        <w:fldChar w:fldCharType="begin"/>
      </w:r>
      <w:r>
        <w:rPr>
          <w:color w:val="auto"/>
        </w:rPr>
        <w:instrText xml:space="preserve"> HYPERLINK "http://www.baidu.com/s?wd=%E4%BB%B2%E8%A3%81%E5%A7%94%E5%91%98%E4%BC%9A&amp;tn=SE_PcZhidaonwhc_ngpagmjz&amp;rsv_dl=gh_pc_zhidao" </w:instrText>
      </w:r>
      <w:r>
        <w:rPr>
          <w:color w:val="auto"/>
        </w:rPr>
        <w:fldChar w:fldCharType="separate"/>
      </w:r>
      <w:r>
        <w:rPr>
          <w:rFonts w:hint="eastAsia" w:ascii="仿宋_GB2312" w:hAnsi="宋体" w:eastAsia="仿宋_GB2312" w:cs="Times New Roman"/>
          <w:color w:val="auto"/>
          <w:kern w:val="0"/>
          <w:sz w:val="20"/>
          <w:szCs w:val="20"/>
          <w:u w:val="single"/>
        </w:rPr>
        <w:t>仲裁委员会</w:t>
      </w:r>
      <w:r>
        <w:rPr>
          <w:rFonts w:hint="eastAsia" w:ascii="仿宋_GB2312" w:hAnsi="宋体" w:eastAsia="仿宋_GB2312" w:cs="Times New Roman"/>
          <w:color w:val="auto"/>
          <w:kern w:val="0"/>
          <w:sz w:val="20"/>
          <w:szCs w:val="20"/>
          <w:u w:val="single"/>
        </w:rPr>
        <w:fldChar w:fldCharType="end"/>
      </w:r>
      <w:r>
        <w:rPr>
          <w:rFonts w:hint="eastAsia" w:ascii="仿宋_GB2312" w:hAnsi="宋体" w:eastAsia="仿宋_GB2312" w:cs="Times New Roman"/>
          <w:color w:val="auto"/>
          <w:kern w:val="0"/>
          <w:sz w:val="20"/>
          <w:szCs w:val="20"/>
        </w:rPr>
        <w:t>）提起仲裁。</w:t>
      </w:r>
    </w:p>
    <w:p w14:paraId="73E053BD">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十五、合同生效及其它</w:t>
      </w:r>
    </w:p>
    <w:p w14:paraId="1095B19F">
      <w:pPr>
        <w:widowControl/>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06F48BD0">
      <w:pPr>
        <w:widowControl/>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2、合同未尽事宜、由甲、乙双方协商，并签订补充协议，经双方确认的补充协议与原合同具有同等法律效力。</w:t>
      </w:r>
    </w:p>
    <w:p w14:paraId="3E2E13C4">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3、 本合同一式</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份，甲方、乙方双方分别执</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份，向【      】备案</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份。</w:t>
      </w:r>
    </w:p>
    <w:p w14:paraId="645AF6E3">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4、合同经甲乙双方盖章或签字后生效，合同签订地点为</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w:t>
      </w:r>
    </w:p>
    <w:p w14:paraId="77752E18">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5、生效时间：</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年</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月</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日</w:t>
      </w:r>
    </w:p>
    <w:p w14:paraId="013DA819">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lang w:eastAsia="zh-CN"/>
        </w:rPr>
      </w:pPr>
      <w:r>
        <w:rPr>
          <w:rFonts w:hint="eastAsia" w:ascii="仿宋_GB2312" w:hAnsi="宋体" w:eastAsia="仿宋_GB2312" w:cs="Times New Roman"/>
          <w:color w:val="auto"/>
          <w:kern w:val="0"/>
          <w:sz w:val="20"/>
          <w:szCs w:val="20"/>
          <w:lang w:eastAsia="zh-CN"/>
        </w:rPr>
        <w:t>（</w:t>
      </w:r>
      <w:r>
        <w:rPr>
          <w:rFonts w:hint="eastAsia" w:ascii="仿宋_GB2312" w:hAnsi="宋体" w:eastAsia="仿宋_GB2312" w:cs="Times New Roman"/>
          <w:color w:val="auto"/>
          <w:kern w:val="0"/>
          <w:sz w:val="20"/>
          <w:szCs w:val="20"/>
          <w:lang w:val="en-US" w:eastAsia="zh-CN"/>
        </w:rPr>
        <w:t>以下无正文</w:t>
      </w:r>
      <w:r>
        <w:rPr>
          <w:rFonts w:hint="eastAsia" w:ascii="仿宋_GB2312" w:hAnsi="宋体" w:eastAsia="仿宋_GB2312" w:cs="Times New Roman"/>
          <w:color w:val="auto"/>
          <w:kern w:val="0"/>
          <w:sz w:val="20"/>
          <w:szCs w:val="20"/>
          <w:lang w:eastAsia="zh-CN"/>
        </w:rPr>
        <w:t>）</w:t>
      </w:r>
    </w:p>
    <w:p w14:paraId="08A54E6E">
      <w:pPr>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 xml:space="preserve"> </w:t>
      </w:r>
    </w:p>
    <w:tbl>
      <w:tblPr>
        <w:tblStyle w:val="5"/>
        <w:tblW w:w="0" w:type="auto"/>
        <w:jc w:val="center"/>
        <w:tblLayout w:type="fixed"/>
        <w:tblCellMar>
          <w:top w:w="0" w:type="dxa"/>
          <w:left w:w="108" w:type="dxa"/>
          <w:bottom w:w="0" w:type="dxa"/>
          <w:right w:w="108" w:type="dxa"/>
        </w:tblCellMar>
      </w:tblPr>
      <w:tblGrid>
        <w:gridCol w:w="4643"/>
        <w:gridCol w:w="4643"/>
      </w:tblGrid>
      <w:tr w14:paraId="0968832F">
        <w:tblPrEx>
          <w:tblCellMar>
            <w:top w:w="0" w:type="dxa"/>
            <w:left w:w="108" w:type="dxa"/>
            <w:bottom w:w="0" w:type="dxa"/>
            <w:right w:w="108" w:type="dxa"/>
          </w:tblCellMar>
        </w:tblPrEx>
        <w:trPr>
          <w:jc w:val="center"/>
        </w:trPr>
        <w:tc>
          <w:tcPr>
            <w:tcW w:w="4643" w:type="dxa"/>
            <w:tcBorders>
              <w:top w:val="nil"/>
              <w:left w:val="nil"/>
              <w:bottom w:val="nil"/>
              <w:right w:val="nil"/>
            </w:tcBorders>
          </w:tcPr>
          <w:p w14:paraId="2F6E26EA">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甲方名称</w:t>
            </w:r>
            <w:r>
              <w:rPr>
                <w:rFonts w:hint="eastAsia" w:ascii="仿宋_GB2312" w:hAnsi="宋体" w:eastAsia="仿宋_GB2312" w:cs="Times New Roman"/>
                <w:color w:val="auto"/>
                <w:spacing w:val="-20"/>
                <w:kern w:val="0"/>
                <w:sz w:val="20"/>
                <w:szCs w:val="20"/>
              </w:rPr>
              <w:t>（盖章）</w:t>
            </w:r>
            <w:r>
              <w:rPr>
                <w:rFonts w:hint="eastAsia" w:ascii="仿宋_GB2312" w:hAnsi="宋体" w:eastAsia="仿宋_GB2312" w:cs="Times New Roman"/>
                <w:color w:val="auto"/>
                <w:kern w:val="0"/>
                <w:sz w:val="20"/>
                <w:szCs w:val="20"/>
              </w:rPr>
              <w:t>:</w:t>
            </w:r>
          </w:p>
          <w:p w14:paraId="64715EB6">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代表人（签字）：</w:t>
            </w:r>
          </w:p>
          <w:p w14:paraId="37031760">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签订时间：</w:t>
            </w:r>
          </w:p>
        </w:tc>
        <w:tc>
          <w:tcPr>
            <w:tcW w:w="4643" w:type="dxa"/>
            <w:tcBorders>
              <w:top w:val="nil"/>
              <w:left w:val="nil"/>
              <w:bottom w:val="nil"/>
              <w:right w:val="nil"/>
            </w:tcBorders>
          </w:tcPr>
          <w:p w14:paraId="410A98FA">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乙方名称</w:t>
            </w:r>
            <w:r>
              <w:rPr>
                <w:rFonts w:hint="eastAsia" w:ascii="仿宋_GB2312" w:hAnsi="宋体" w:eastAsia="仿宋_GB2312" w:cs="Times New Roman"/>
                <w:color w:val="auto"/>
                <w:spacing w:val="-20"/>
                <w:kern w:val="0"/>
                <w:sz w:val="20"/>
                <w:szCs w:val="20"/>
              </w:rPr>
              <w:t>（盖章）</w:t>
            </w:r>
            <w:r>
              <w:rPr>
                <w:rFonts w:hint="eastAsia" w:ascii="仿宋_GB2312" w:hAnsi="宋体" w:eastAsia="仿宋_GB2312" w:cs="Times New Roman"/>
                <w:color w:val="auto"/>
                <w:kern w:val="0"/>
                <w:sz w:val="20"/>
                <w:szCs w:val="20"/>
              </w:rPr>
              <w:t>:</w:t>
            </w:r>
          </w:p>
          <w:p w14:paraId="4132357D">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代表人（签字）：</w:t>
            </w:r>
          </w:p>
          <w:p w14:paraId="2D0ED83B">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签订时间：</w:t>
            </w:r>
          </w:p>
        </w:tc>
      </w:tr>
    </w:tbl>
    <w:p w14:paraId="0371BB45">
      <w:pPr>
        <w:widowControl/>
        <w:jc w:val="left"/>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br w:type="textWrapping"/>
      </w:r>
    </w:p>
    <w:p w14:paraId="596EBABF">
      <w:pPr>
        <w:rPr>
          <w:color w:val="auto"/>
        </w:rPr>
      </w:pPr>
      <w:r>
        <w:rPr>
          <w:rFonts w:ascii="Calibri" w:hAnsi="Calibri" w:eastAsia="宋体" w:cs="Times New Roman"/>
          <w:color w:val="auto"/>
          <w:szCs w:val="21"/>
        </w:rPr>
        <w:t xml:space="preserve"> </w:t>
      </w:r>
    </w:p>
    <w:p w14:paraId="1A8A9E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1AA"/>
    <w:rsid w:val="00071732"/>
    <w:rsid w:val="00152ECF"/>
    <w:rsid w:val="001B1CD3"/>
    <w:rsid w:val="001F5A38"/>
    <w:rsid w:val="00295414"/>
    <w:rsid w:val="003A69F7"/>
    <w:rsid w:val="003C0627"/>
    <w:rsid w:val="004B7869"/>
    <w:rsid w:val="004F0E0C"/>
    <w:rsid w:val="00566B70"/>
    <w:rsid w:val="00590DDD"/>
    <w:rsid w:val="005E5B71"/>
    <w:rsid w:val="006062E1"/>
    <w:rsid w:val="00680D0A"/>
    <w:rsid w:val="00754855"/>
    <w:rsid w:val="00772A65"/>
    <w:rsid w:val="007C2145"/>
    <w:rsid w:val="008437B7"/>
    <w:rsid w:val="00853D28"/>
    <w:rsid w:val="008B73F8"/>
    <w:rsid w:val="008E3061"/>
    <w:rsid w:val="008F2F05"/>
    <w:rsid w:val="0091097F"/>
    <w:rsid w:val="00931C7E"/>
    <w:rsid w:val="009F3328"/>
    <w:rsid w:val="00A43779"/>
    <w:rsid w:val="00AD5909"/>
    <w:rsid w:val="00B77FC7"/>
    <w:rsid w:val="00BB63F8"/>
    <w:rsid w:val="00C82591"/>
    <w:rsid w:val="00CA31DB"/>
    <w:rsid w:val="00D54FB3"/>
    <w:rsid w:val="00D815F3"/>
    <w:rsid w:val="00DC40C1"/>
    <w:rsid w:val="00DE2E94"/>
    <w:rsid w:val="00E6715A"/>
    <w:rsid w:val="00EA47D3"/>
    <w:rsid w:val="00FB61AA"/>
    <w:rsid w:val="012F5B41"/>
    <w:rsid w:val="04566B76"/>
    <w:rsid w:val="0CBE4A5D"/>
    <w:rsid w:val="0DC95924"/>
    <w:rsid w:val="3B56A73B"/>
    <w:rsid w:val="7DDF4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260" w:after="260" w:line="416" w:lineRule="auto"/>
      <w:outlineLvl w:val="1"/>
    </w:pPr>
    <w:rPr>
      <w:rFonts w:ascii="Cambria" w:hAnsi="Cambria"/>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rFonts w:hAnsi="微软雅黑" w:cs="宋体" w:asciiTheme="minorHAnsi" w:eastAsiaTheme="minorEastAsia"/>
      <w:b/>
      <w:bCs/>
      <w:color w:val="0A82E5"/>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hAnsi="微软雅黑" w:cs="宋体" w:asciiTheme="minorHAnsi" w:eastAsiaTheme="minorEastAsia"/>
      <w:b/>
      <w:bCs/>
      <w:color w:val="0A82E5"/>
      <w:kern w:val="0"/>
      <w:sz w:val="18"/>
      <w:szCs w:val="18"/>
    </w:rPr>
  </w:style>
  <w:style w:type="character" w:styleId="7">
    <w:name w:val="FollowedHyperlink"/>
    <w:basedOn w:val="6"/>
    <w:semiHidden/>
    <w:unhideWhenUsed/>
    <w:qFormat/>
    <w:uiPriority w:val="99"/>
    <w:rPr>
      <w:color w:val="954F72"/>
      <w:u w:val="single"/>
    </w:rPr>
  </w:style>
  <w:style w:type="character" w:styleId="8">
    <w:name w:val="Hyperlink"/>
    <w:basedOn w:val="6"/>
    <w:semiHidden/>
    <w:unhideWhenUsed/>
    <w:qFormat/>
    <w:uiPriority w:val="99"/>
    <w:rPr>
      <w:color w:val="0563C1"/>
      <w:u w:val="single"/>
    </w:rPr>
  </w:style>
  <w:style w:type="character" w:customStyle="1" w:styleId="9">
    <w:name w:val="页眉 字符"/>
    <w:basedOn w:val="6"/>
    <w:link w:val="4"/>
    <w:qFormat/>
    <w:uiPriority w:val="99"/>
    <w:rPr>
      <w:rFonts w:asciiTheme="minorHAnsi" w:eastAsiaTheme="minorEastAsia"/>
      <w:sz w:val="18"/>
      <w:szCs w:val="18"/>
    </w:rPr>
  </w:style>
  <w:style w:type="character" w:customStyle="1" w:styleId="10">
    <w:name w:val="页脚 字符"/>
    <w:basedOn w:val="6"/>
    <w:link w:val="3"/>
    <w:qFormat/>
    <w:uiPriority w:val="99"/>
    <w:rPr>
      <w:rFonts w:asciiTheme="minorHAnsi" w:eastAsiaTheme="minorEastAsia"/>
      <w:sz w:val="18"/>
      <w:szCs w:val="18"/>
    </w:rPr>
  </w:style>
  <w:style w:type="character" w:customStyle="1" w:styleId="11">
    <w:name w:val="标题 2 Char"/>
    <w:basedOn w:val="6"/>
    <w:semiHidden/>
    <w:qFormat/>
    <w:uiPriority w:val="9"/>
    <w:rPr>
      <w:rFonts w:asciiTheme="majorHAnsi" w:hAnsiTheme="majorHAnsi" w:eastAsiaTheme="majorEastAsia" w:cstheme="majorBidi"/>
      <w:color w:val="auto"/>
      <w:kern w:val="2"/>
      <w:sz w:val="32"/>
      <w:szCs w:val="32"/>
    </w:rPr>
  </w:style>
  <w:style w:type="character" w:customStyle="1" w:styleId="12">
    <w:name w:val="标题 2 字符"/>
    <w:link w:val="2"/>
    <w:qFormat/>
    <w:uiPriority w:val="0"/>
    <w:rPr>
      <w:rFonts w:ascii="Cambria" w:hAnsi="Cambria" w:eastAsia="宋体" w:cs="Times New Roman"/>
      <w:color w:val="auto"/>
      <w:kern w:val="2"/>
      <w:sz w:val="32"/>
      <w:szCs w:val="32"/>
    </w:rPr>
  </w:style>
  <w:style w:type="paragraph" w:customStyle="1" w:styleId="13">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2008</Words>
  <Characters>2029</Characters>
  <Lines>20</Lines>
  <Paragraphs>5</Paragraphs>
  <TotalTime>0</TotalTime>
  <ScaleCrop>false</ScaleCrop>
  <LinksUpToDate>false</LinksUpToDate>
  <CharactersWithSpaces>2068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2023-11-20T16:39:00Z</dcterms:created>
  <dc:creator>Lenovo</dc:creator>
  <cp:lastModifiedBy>jillian</cp:lastModifiedBy>
  <dcterms:modified xsi:type="dcterms:W3CDTF">2025-12-01T06:32:49Z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FEA9A9C91E1B6BC5AF168266F5753552_42</vt:lpwstr>
  </property>
  <property fmtid="{D5CDD505-2E9C-101B-9397-08002B2CF9AE}" pid="4" name="KSOTemplateDocerSaveRecord">
    <vt:lpwstr>eyJoZGlkIjoiOWNkODk0Yzk4YThhZTUxYjE4YjI3ZGQ1ZWZmMWIzMGUiLCJ1c2VySWQiOiI0MjM4MzIyNzIifQ==</vt:lpwstr>
  </property>
</Properties>
</file>