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版本号：SDZC2025-195.1B120251128001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西安市全民健康信息平台升级建设项目第三方审计服务(二次)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SDZC2025-195.1B1</w:t>
      </w:r>
      <w:r>
        <w:br/>
      </w:r>
      <w:r>
        <w:br/>
      </w:r>
      <w:r>
        <w:br/>
      </w:r>
    </w:p>
    <w:p>
      <w:pPr>
        <w:pStyle w:val="null3"/>
        <w:jc w:val="center"/>
        <w:outlineLvl w:val="2"/>
      </w:pPr>
      <w:r>
        <w:rPr>
          <w:rFonts w:ascii="仿宋_GB2312" w:hAnsi="仿宋_GB2312" w:cs="仿宋_GB2312" w:eastAsia="仿宋_GB2312"/>
          <w:sz w:val="28"/>
          <w:b/>
        </w:rPr>
        <w:t>西安市卫生统计信息中心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西安市卫生统计信息中心</w:t>
      </w:r>
      <w:r>
        <w:rPr>
          <w:rFonts w:ascii="仿宋_GB2312" w:hAnsi="仿宋_GB2312" w:cs="仿宋_GB2312" w:eastAsia="仿宋_GB2312"/>
        </w:rPr>
        <w:t>委托，拟对</w:t>
      </w:r>
      <w:r>
        <w:rPr>
          <w:rFonts w:ascii="仿宋_GB2312" w:hAnsi="仿宋_GB2312" w:cs="仿宋_GB2312" w:eastAsia="仿宋_GB2312"/>
        </w:rPr>
        <w:t>西安市全民健康信息平台升级建设项目第三方审计服务(二次)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SDZC2025-195.1B1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西安市全民健康信息平台升级建设项目第三方审计服务(二次)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对西安市全民健康信息平台升级建设项目实施全过程第三方审计服务。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采购包1（第三方审计服务）：属于专门面向中小企业采购。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完整有效的2024年度财务审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8、具备会计师事务所执业证书：具备会计师事务所执业证书；</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西安市卫生统计信息中心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西安市未央区凤城8路109号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西安市卫生统计信息中心经办孟圆伟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西安市卫生统计信息中心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西安市卫生统计信息中心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西安市卫生统计信息中心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联系人：曹幸（3号工位）、王涛、魏蕾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对西安市全民健康信息平台升级建设项目实施全过程第三方审计服务。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132,800.00</w:t>
      </w:r>
    </w:p>
    <w:p>
      <w:pPr>
        <w:pStyle w:val="null3"/>
      </w:pPr>
      <w:r>
        <w:rPr>
          <w:rFonts w:ascii="仿宋_GB2312" w:hAnsi="仿宋_GB2312" w:cs="仿宋_GB2312" w:eastAsia="仿宋_GB2312"/>
        </w:rPr>
        <w:t>采购包最高限价（元）: 132,800.00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第三方审计服务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标的名称：第三方审计服务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pPr>
            <w:r>
              <w:rPr>
                <w:rFonts w:ascii="仿宋_GB2312" w:hAnsi="仿宋_GB2312" w:cs="仿宋_GB2312" w:eastAsia="仿宋_GB2312"/>
                <w:sz w:val="24"/>
                <w:b/>
                <w:color w:val="0000FF"/>
              </w:rPr>
              <w:t>一、项目概况</w:t>
            </w:r>
          </w:p>
          <w:p>
            <w:pPr>
              <w:pStyle w:val="null3"/>
              <w:ind w:firstLine="480"/>
            </w:pPr>
            <w:r>
              <w:rPr>
                <w:rFonts w:ascii="仿宋_GB2312" w:hAnsi="仿宋_GB2312" w:cs="仿宋_GB2312" w:eastAsia="仿宋_GB2312"/>
                <w:sz w:val="24"/>
                <w:color w:val="0000FF"/>
              </w:rPr>
              <w:t>按照《</w:t>
            </w:r>
            <w:r>
              <w:rPr>
                <w:rFonts w:ascii="仿宋_GB2312" w:hAnsi="仿宋_GB2312" w:cs="仿宋_GB2312" w:eastAsia="仿宋_GB2312"/>
                <w:sz w:val="24"/>
                <w:color w:val="0000FF"/>
              </w:rPr>
              <w:t>“健康中国”2030规划纲要》总体要求，在中共中央国务院《关于深化医药卫生体制改革的意见》、《关于促进“互联网+医疗健康”发展的意见》、《关于促进和规范健康医疗大数据应用发展的指导意见》等指示要求下，加快升级西安市全民健康信息平台，按照“一领域一平台，一部门一系统”的建设思路，依托全民健康信息平台建设成效，以人民群众日益增长的健康需求为出发点，以“互联网+医疗健康”为突破口，升级现有平台，达到标准统一、业务协同、数据共享，实现医疗健康大数据的汇聚，创新“互联网+医疗健康”惠民服务，不断提升人民群众医疗健康服务获得感，提升行业治理水平，为培育健康产业新模式、新业态、新增长点打下坚实基础，打造支撑国家中心城市的“医疗卫生数字底座”，实现“辅政、助医、惠民”的总体目标。</w:t>
            </w:r>
          </w:p>
          <w:p>
            <w:pPr>
              <w:pStyle w:val="null3"/>
              <w:ind w:firstLine="480"/>
            </w:pPr>
            <w:r>
              <w:rPr>
                <w:rFonts w:ascii="仿宋_GB2312" w:hAnsi="仿宋_GB2312" w:cs="仿宋_GB2312" w:eastAsia="仿宋_GB2312"/>
                <w:sz w:val="24"/>
                <w:color w:val="0000FF"/>
              </w:rPr>
              <w:t>“辅政、助医、惠民”，即汇聚医疗卫生大数据、提升医疗卫生智慧化水平、提供惠及百姓的数字化服务。以全民健康信息平台升级为契机，坚持问题导向、目标导向、需求导向，充分整合现有基础设施和软件数据资源，逐步建立“高效统一、互联互通、信息共享”的全民健康信息平台，全方位支撑我市卫生健康事业高质量发展，从以人为本的角度出发进一步满足人民群众对便捷医疗服务的需求，”让百姓少跑腿、数据多跑路，持续提升医疗卫生服务的均等化、普惠化和便捷化水平。</w:t>
            </w:r>
          </w:p>
          <w:p>
            <w:pPr>
              <w:pStyle w:val="null3"/>
              <w:ind w:firstLine="480"/>
            </w:pPr>
            <w:r>
              <w:rPr>
                <w:rFonts w:ascii="仿宋_GB2312" w:hAnsi="仿宋_GB2312" w:cs="仿宋_GB2312" w:eastAsia="仿宋_GB2312"/>
                <w:sz w:val="24"/>
                <w:color w:val="0000FF"/>
              </w:rPr>
              <w:t>本项目审计要正确理解本项目的建设目标和内容，要了解本项目相关的组织结构和业务特点，对西安市全民健康信息平台升级建设项目实施全过程</w:t>
            </w:r>
            <w:r>
              <w:rPr>
                <w:rFonts w:ascii="仿宋_GB2312" w:hAnsi="仿宋_GB2312" w:cs="仿宋_GB2312" w:eastAsia="仿宋_GB2312"/>
                <w:sz w:val="24"/>
                <w:color w:val="0000FF"/>
              </w:rPr>
              <w:t>第三方审计服务</w:t>
            </w:r>
            <w:r>
              <w:rPr>
                <w:rFonts w:ascii="仿宋_GB2312" w:hAnsi="仿宋_GB2312" w:cs="仿宋_GB2312" w:eastAsia="仿宋_GB2312"/>
                <w:sz w:val="24"/>
                <w:color w:val="0000FF"/>
              </w:rPr>
              <w:t>。</w:t>
            </w:r>
          </w:p>
          <w:p>
            <w:pPr>
              <w:pStyle w:val="null3"/>
              <w:ind w:firstLine="643"/>
            </w:pPr>
            <w:r>
              <w:rPr>
                <w:rFonts w:ascii="仿宋_GB2312" w:hAnsi="仿宋_GB2312" w:cs="仿宋_GB2312" w:eastAsia="仿宋_GB2312"/>
                <w:sz w:val="24"/>
                <w:b/>
                <w:color w:val="0000FF"/>
              </w:rPr>
              <w:t>二、服务内容</w:t>
            </w:r>
          </w:p>
          <w:p>
            <w:pPr>
              <w:pStyle w:val="null3"/>
              <w:ind w:firstLine="480"/>
            </w:pPr>
            <w:r>
              <w:rPr>
                <w:rFonts w:ascii="仿宋_GB2312" w:hAnsi="仿宋_GB2312" w:cs="仿宋_GB2312" w:eastAsia="仿宋_GB2312"/>
                <w:sz w:val="24"/>
                <w:color w:val="0000FF"/>
              </w:rPr>
              <w:t>根据相关质量标准，对西安市全民健康信息平台升级建设项目实施全过程</w:t>
            </w:r>
            <w:r>
              <w:rPr>
                <w:rFonts w:ascii="仿宋_GB2312" w:hAnsi="仿宋_GB2312" w:cs="仿宋_GB2312" w:eastAsia="仿宋_GB2312"/>
                <w:sz w:val="24"/>
                <w:color w:val="0000FF"/>
              </w:rPr>
              <w:t>第三方审计服务</w:t>
            </w:r>
            <w:r>
              <w:rPr>
                <w:rFonts w:ascii="仿宋_GB2312" w:hAnsi="仿宋_GB2312" w:cs="仿宋_GB2312" w:eastAsia="仿宋_GB2312"/>
                <w:sz w:val="24"/>
                <w:color w:val="0000FF"/>
              </w:rPr>
              <w:t>。</w:t>
            </w:r>
          </w:p>
          <w:p>
            <w:pPr>
              <w:pStyle w:val="null3"/>
              <w:ind w:firstLine="643"/>
            </w:pPr>
            <w:r>
              <w:rPr>
                <w:rFonts w:ascii="仿宋_GB2312" w:hAnsi="仿宋_GB2312" w:cs="仿宋_GB2312" w:eastAsia="仿宋_GB2312"/>
                <w:sz w:val="24"/>
                <w:b/>
                <w:color w:val="0000FF"/>
              </w:rPr>
              <w:t>1．服务内容</w:t>
            </w:r>
          </w:p>
          <w:p>
            <w:pPr>
              <w:pStyle w:val="null3"/>
              <w:ind w:firstLine="640"/>
            </w:pPr>
            <w:r>
              <w:rPr>
                <w:rFonts w:ascii="仿宋_GB2312" w:hAnsi="仿宋_GB2312" w:cs="仿宋_GB2312" w:eastAsia="仿宋_GB2312"/>
                <w:sz w:val="24"/>
                <w:color w:val="0000FF"/>
              </w:rPr>
              <w:t>（</w:t>
            </w: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r>
              <w:rPr>
                <w:rFonts w:ascii="仿宋_GB2312" w:hAnsi="仿宋_GB2312" w:cs="仿宋_GB2312" w:eastAsia="仿宋_GB2312"/>
                <w:sz w:val="24"/>
                <w:color w:val="0000FF"/>
              </w:rPr>
              <w:t>对项目采购至竣工验收结（决）算的经济活动的真实性、合法性、效益性进行审计监督，重点对采购文件的公平公正性、合同的合法合规性、竣工决（结）算的真实有效性、标准和流程合规性等进行审计。</w:t>
            </w:r>
          </w:p>
          <w:p>
            <w:pPr>
              <w:pStyle w:val="null3"/>
              <w:ind w:firstLine="640"/>
            </w:pPr>
            <w:r>
              <w:rPr>
                <w:rFonts w:ascii="仿宋_GB2312" w:hAnsi="仿宋_GB2312" w:cs="仿宋_GB2312" w:eastAsia="仿宋_GB2312"/>
                <w:sz w:val="24"/>
                <w:color w:val="0000FF"/>
              </w:rPr>
              <w:t>1）审查决算资料的完整性。</w:t>
            </w:r>
          </w:p>
          <w:p>
            <w:pPr>
              <w:pStyle w:val="null3"/>
              <w:ind w:firstLine="640"/>
            </w:pPr>
            <w:r>
              <w:rPr>
                <w:rFonts w:ascii="仿宋_GB2312" w:hAnsi="仿宋_GB2312" w:cs="仿宋_GB2312" w:eastAsia="仿宋_GB2312"/>
                <w:sz w:val="24"/>
                <w:color w:val="0000FF"/>
              </w:rPr>
              <w:t>①经批准的可行性研究报告，初步设计、投资概算、系统及设备清单及各种合同及协议书；</w:t>
            </w:r>
          </w:p>
          <w:p>
            <w:pPr>
              <w:pStyle w:val="null3"/>
              <w:ind w:firstLine="640"/>
            </w:pPr>
            <w:r>
              <w:rPr>
                <w:rFonts w:ascii="仿宋_GB2312" w:hAnsi="仿宋_GB2312" w:cs="仿宋_GB2312" w:eastAsia="仿宋_GB2312"/>
                <w:sz w:val="24"/>
                <w:color w:val="0000FF"/>
              </w:rPr>
              <w:t>②项目预算（投标报价）、结算书；</w:t>
            </w:r>
          </w:p>
          <w:p>
            <w:pPr>
              <w:pStyle w:val="null3"/>
              <w:ind w:firstLine="640"/>
            </w:pPr>
            <w:r>
              <w:rPr>
                <w:rFonts w:ascii="仿宋_GB2312" w:hAnsi="仿宋_GB2312" w:cs="仿宋_GB2312" w:eastAsia="仿宋_GB2312"/>
                <w:sz w:val="24"/>
                <w:color w:val="0000FF"/>
              </w:rPr>
              <w:t>③同级财政审批的各年度财务决算报表及竣工财务决算报表；</w:t>
            </w:r>
          </w:p>
          <w:p>
            <w:pPr>
              <w:pStyle w:val="null3"/>
              <w:ind w:firstLine="640"/>
            </w:pPr>
            <w:r>
              <w:rPr>
                <w:rFonts w:ascii="仿宋_GB2312" w:hAnsi="仿宋_GB2312" w:cs="仿宋_GB2312" w:eastAsia="仿宋_GB2312"/>
                <w:sz w:val="24"/>
                <w:color w:val="0000FF"/>
              </w:rPr>
              <w:t>④各年度下达的固定资产投资计划及调整计划；</w:t>
            </w:r>
          </w:p>
          <w:p>
            <w:pPr>
              <w:pStyle w:val="null3"/>
              <w:ind w:firstLine="640"/>
            </w:pPr>
            <w:r>
              <w:rPr>
                <w:rFonts w:ascii="仿宋_GB2312" w:hAnsi="仿宋_GB2312" w:cs="仿宋_GB2312" w:eastAsia="仿宋_GB2312"/>
                <w:sz w:val="24"/>
                <w:color w:val="0000FF"/>
              </w:rPr>
              <w:t>⑤已办理竣工验收的单项工程的竣工验收资料；</w:t>
            </w:r>
          </w:p>
          <w:p>
            <w:pPr>
              <w:pStyle w:val="null3"/>
              <w:ind w:firstLine="640"/>
            </w:pPr>
            <w:r>
              <w:rPr>
                <w:rFonts w:ascii="仿宋_GB2312" w:hAnsi="仿宋_GB2312" w:cs="仿宋_GB2312" w:eastAsia="仿宋_GB2312"/>
                <w:sz w:val="24"/>
                <w:color w:val="0000FF"/>
              </w:rPr>
              <w:t>⑥建设项目设备、材料采购及入、出库资料；</w:t>
            </w:r>
          </w:p>
          <w:p>
            <w:pPr>
              <w:pStyle w:val="null3"/>
              <w:ind w:firstLine="640"/>
            </w:pPr>
            <w:r>
              <w:rPr>
                <w:rFonts w:ascii="仿宋_GB2312" w:hAnsi="仿宋_GB2312" w:cs="仿宋_GB2312" w:eastAsia="仿宋_GB2312"/>
                <w:sz w:val="24"/>
                <w:color w:val="0000FF"/>
              </w:rPr>
              <w:t>⑦财务会计报表、会计帐簿、会计凭证及其他会计资料；</w:t>
            </w:r>
          </w:p>
          <w:p>
            <w:pPr>
              <w:pStyle w:val="null3"/>
              <w:ind w:firstLine="640"/>
            </w:pPr>
            <w:r>
              <w:rPr>
                <w:rFonts w:ascii="仿宋_GB2312" w:hAnsi="仿宋_GB2312" w:cs="仿宋_GB2312" w:eastAsia="仿宋_GB2312"/>
                <w:sz w:val="24"/>
                <w:color w:val="0000FF"/>
              </w:rPr>
              <w:t>⑧项目交点清单及财产盘点移交清单；</w:t>
            </w:r>
          </w:p>
          <w:p>
            <w:pPr>
              <w:pStyle w:val="null3"/>
              <w:ind w:firstLine="640"/>
            </w:pPr>
            <w:r>
              <w:rPr>
                <w:rFonts w:ascii="仿宋_GB2312" w:hAnsi="仿宋_GB2312" w:cs="仿宋_GB2312" w:eastAsia="仿宋_GB2312"/>
                <w:sz w:val="24"/>
                <w:color w:val="0000FF"/>
              </w:rPr>
              <w:t>⑨其他资料，如收尾工程、遗留问题等。</w:t>
            </w:r>
          </w:p>
          <w:p>
            <w:pPr>
              <w:pStyle w:val="null3"/>
              <w:ind w:firstLine="640"/>
            </w:pPr>
            <w:r>
              <w:rPr>
                <w:rFonts w:ascii="仿宋_GB2312" w:hAnsi="仿宋_GB2312" w:cs="仿宋_GB2312" w:eastAsia="仿宋_GB2312"/>
                <w:sz w:val="24"/>
                <w:color w:val="0000FF"/>
              </w:rPr>
              <w:t>2）竣工财务决算报表和说明书完整性、真实性审计。</w:t>
            </w:r>
          </w:p>
          <w:p>
            <w:pPr>
              <w:pStyle w:val="null3"/>
              <w:ind w:firstLine="640"/>
            </w:pPr>
            <w:r>
              <w:rPr>
                <w:rFonts w:ascii="仿宋_GB2312" w:hAnsi="仿宋_GB2312" w:cs="仿宋_GB2312" w:eastAsia="仿宋_GB2312"/>
                <w:sz w:val="24"/>
                <w:color w:val="0000FF"/>
              </w:rPr>
              <w:t>项目财务决算报表（不限于项目竣工决算审批表；竣工工程概况表；竣工工程财务决算表；交付使用资产总表；交付使用资产明细表）。</w:t>
            </w:r>
          </w:p>
          <w:p>
            <w:pPr>
              <w:pStyle w:val="null3"/>
              <w:ind w:firstLine="640"/>
            </w:pPr>
            <w:r>
              <w:rPr>
                <w:rFonts w:ascii="仿宋_GB2312" w:hAnsi="仿宋_GB2312" w:cs="仿宋_GB2312" w:eastAsia="仿宋_GB2312"/>
                <w:sz w:val="24"/>
                <w:color w:val="0000FF"/>
              </w:rPr>
              <w:t>3）各项投资支出的真实性、合规性审计。</w:t>
            </w:r>
          </w:p>
          <w:p>
            <w:pPr>
              <w:pStyle w:val="null3"/>
              <w:ind w:firstLine="640"/>
            </w:pPr>
            <w:r>
              <w:rPr>
                <w:rFonts w:ascii="仿宋_GB2312" w:hAnsi="仿宋_GB2312" w:cs="仿宋_GB2312" w:eastAsia="仿宋_GB2312"/>
                <w:sz w:val="24"/>
                <w:color w:val="0000FF"/>
              </w:rPr>
              <w:t>包括项目投资审计、设备投资审计、待摊投资列支的审计、其他投资支出的审计、待核销基建支出的审计及转出投资审计等。审计工程设备费用、软件费用的计算，确保费用的合理性和准确性。</w:t>
            </w:r>
          </w:p>
          <w:p>
            <w:pPr>
              <w:pStyle w:val="null3"/>
              <w:ind w:firstLine="640"/>
            </w:pPr>
            <w:r>
              <w:rPr>
                <w:rFonts w:ascii="仿宋_GB2312" w:hAnsi="仿宋_GB2312" w:cs="仿宋_GB2312" w:eastAsia="仿宋_GB2312"/>
                <w:sz w:val="24"/>
                <w:color w:val="0000FF"/>
              </w:rPr>
              <w:t>4）竣工结算的真实性、合规性审计。</w:t>
            </w:r>
          </w:p>
          <w:p>
            <w:pPr>
              <w:pStyle w:val="null3"/>
              <w:ind w:firstLine="640"/>
            </w:pPr>
            <w:r>
              <w:rPr>
                <w:rFonts w:ascii="仿宋_GB2312" w:hAnsi="仿宋_GB2312" w:cs="仿宋_GB2312" w:eastAsia="仿宋_GB2312"/>
                <w:sz w:val="24"/>
                <w:color w:val="0000FF"/>
              </w:rPr>
              <w:t>包括约定的合同价款及合同价款调整内容以及索赔事项是否规范；设计变更价款调整事项是否约定；过程造价控制是否真实合规；进度款结算与支付是否合规；验证资金支付的真实性，检查结算凭证、验收报告等材料的完整性。</w:t>
            </w:r>
          </w:p>
          <w:p>
            <w:pPr>
              <w:pStyle w:val="null3"/>
              <w:ind w:firstLine="640"/>
            </w:pPr>
            <w:r>
              <w:rPr>
                <w:rFonts w:ascii="仿宋_GB2312" w:hAnsi="仿宋_GB2312" w:cs="仿宋_GB2312" w:eastAsia="仿宋_GB2312"/>
                <w:sz w:val="24"/>
                <w:color w:val="0000FF"/>
              </w:rPr>
              <w:t>决算审计：评价项目综合效益，审查决算报表数据的真实性及资金使用的合法性。</w:t>
            </w:r>
          </w:p>
          <w:p>
            <w:pPr>
              <w:pStyle w:val="null3"/>
              <w:ind w:firstLine="640"/>
            </w:pPr>
            <w:r>
              <w:rPr>
                <w:rFonts w:ascii="仿宋_GB2312" w:hAnsi="仿宋_GB2312" w:cs="仿宋_GB2312" w:eastAsia="仿宋_GB2312"/>
                <w:sz w:val="24"/>
                <w:color w:val="0000FF"/>
              </w:rPr>
              <w:t>5）合规性审查</w:t>
            </w:r>
          </w:p>
          <w:p>
            <w:pPr>
              <w:pStyle w:val="null3"/>
              <w:ind w:firstLine="640"/>
            </w:pPr>
            <w:r>
              <w:rPr>
                <w:rFonts w:ascii="仿宋_GB2312" w:hAnsi="仿宋_GB2312" w:cs="仿宋_GB2312" w:eastAsia="仿宋_GB2312"/>
                <w:sz w:val="24"/>
                <w:color w:val="0000FF"/>
              </w:rPr>
              <w:t>对项目的合规性进行审查，核查项目在立项、招投标、监理、交付验收等环节是否严格执行国家相关制度和政策规定等。对项目最后资料的完备性和合规性进行审核；</w:t>
            </w:r>
          </w:p>
          <w:p>
            <w:pPr>
              <w:pStyle w:val="null3"/>
              <w:ind w:firstLine="640"/>
            </w:pPr>
            <w:r>
              <w:rPr>
                <w:rFonts w:ascii="仿宋_GB2312" w:hAnsi="仿宋_GB2312" w:cs="仿宋_GB2312" w:eastAsia="仿宋_GB2312"/>
                <w:sz w:val="24"/>
                <w:color w:val="0000FF"/>
              </w:rPr>
              <w:t>6）风险审查</w:t>
            </w:r>
          </w:p>
          <w:p>
            <w:pPr>
              <w:pStyle w:val="null3"/>
              <w:ind w:firstLine="640"/>
            </w:pPr>
            <w:r>
              <w:rPr>
                <w:rFonts w:ascii="仿宋_GB2312" w:hAnsi="仿宋_GB2312" w:cs="仿宋_GB2312" w:eastAsia="仿宋_GB2312"/>
                <w:sz w:val="24"/>
                <w:color w:val="0000FF"/>
              </w:rPr>
              <w:t>对项目的风险进行审查，包括项目的风险评估、风险控制等。</w:t>
            </w:r>
          </w:p>
          <w:p>
            <w:pPr>
              <w:pStyle w:val="null3"/>
              <w:ind w:firstLine="640"/>
            </w:pPr>
            <w:r>
              <w:rPr>
                <w:rFonts w:ascii="仿宋_GB2312" w:hAnsi="仿宋_GB2312" w:cs="仿宋_GB2312" w:eastAsia="仿宋_GB2312"/>
                <w:sz w:val="24"/>
                <w:color w:val="0000FF"/>
              </w:rPr>
              <w:t>7）合同审查</w:t>
            </w:r>
          </w:p>
          <w:p>
            <w:pPr>
              <w:pStyle w:val="null3"/>
              <w:ind w:firstLine="640"/>
            </w:pPr>
            <w:r>
              <w:rPr>
                <w:rFonts w:ascii="仿宋_GB2312" w:hAnsi="仿宋_GB2312" w:cs="仿宋_GB2312" w:eastAsia="仿宋_GB2312"/>
                <w:sz w:val="24"/>
                <w:color w:val="0000FF"/>
              </w:rPr>
              <w:t>对项目合同进行审查，确保合同条款的履行和变更符合法律法规和政策要求，防范合同风险，维护国家利益。</w:t>
            </w:r>
          </w:p>
          <w:p>
            <w:pPr>
              <w:pStyle w:val="null3"/>
              <w:ind w:firstLine="640"/>
            </w:pPr>
            <w:r>
              <w:rPr>
                <w:rFonts w:ascii="仿宋_GB2312" w:hAnsi="仿宋_GB2312" w:cs="仿宋_GB2312" w:eastAsia="仿宋_GB2312"/>
                <w:sz w:val="24"/>
                <w:color w:val="0000FF"/>
              </w:rPr>
              <w:t>8）概算执行情况审计。</w:t>
            </w:r>
          </w:p>
          <w:p>
            <w:pPr>
              <w:pStyle w:val="null3"/>
              <w:ind w:firstLine="640"/>
            </w:pPr>
            <w:r>
              <w:rPr>
                <w:rFonts w:ascii="仿宋_GB2312" w:hAnsi="仿宋_GB2312" w:cs="仿宋_GB2312" w:eastAsia="仿宋_GB2312"/>
                <w:sz w:val="24"/>
                <w:color w:val="0000FF"/>
              </w:rPr>
              <w:t>包括实际完成投资总额的真实合规性审计，概算总投资、投入实际金额、实际投资完成额的比较；分析超支或节余的原因等。</w:t>
            </w:r>
          </w:p>
          <w:p>
            <w:pPr>
              <w:pStyle w:val="null3"/>
              <w:ind w:firstLine="640"/>
            </w:pPr>
            <w:r>
              <w:rPr>
                <w:rFonts w:ascii="仿宋_GB2312" w:hAnsi="仿宋_GB2312" w:cs="仿宋_GB2312" w:eastAsia="仿宋_GB2312"/>
                <w:sz w:val="24"/>
                <w:color w:val="0000FF"/>
              </w:rPr>
              <w:t>9）交付使用资产真实性、完整性审计。</w:t>
            </w:r>
          </w:p>
          <w:p>
            <w:pPr>
              <w:pStyle w:val="null3"/>
              <w:ind w:firstLine="640"/>
            </w:pPr>
            <w:r>
              <w:rPr>
                <w:rFonts w:ascii="仿宋_GB2312" w:hAnsi="仿宋_GB2312" w:cs="仿宋_GB2312" w:eastAsia="仿宋_GB2312"/>
                <w:sz w:val="24"/>
                <w:color w:val="0000FF"/>
              </w:rPr>
              <w:t>包括是否符合交付使用条件；交接手续是否齐全；应交使用资产是否真实、完整等。</w:t>
            </w:r>
          </w:p>
          <w:p>
            <w:pPr>
              <w:pStyle w:val="null3"/>
              <w:ind w:firstLine="640"/>
            </w:pPr>
            <w:r>
              <w:rPr>
                <w:rFonts w:ascii="仿宋_GB2312" w:hAnsi="仿宋_GB2312" w:cs="仿宋_GB2312" w:eastAsia="仿宋_GB2312"/>
                <w:sz w:val="24"/>
                <w:color w:val="0000FF"/>
              </w:rPr>
              <w:t>10）结余资金及项目收入审计。</w:t>
            </w:r>
          </w:p>
          <w:p>
            <w:pPr>
              <w:pStyle w:val="null3"/>
              <w:ind w:firstLine="640"/>
            </w:pPr>
            <w:r>
              <w:rPr>
                <w:rFonts w:ascii="仿宋_GB2312" w:hAnsi="仿宋_GB2312" w:cs="仿宋_GB2312" w:eastAsia="仿宋_GB2312"/>
                <w:sz w:val="24"/>
                <w:color w:val="0000FF"/>
              </w:rPr>
              <w:t>包括结余资金管理是否规范，有无小金库；库存物资管理是否规范，数量、质量是否存在问题，库存材料价格是否真实；往来款项、债权债务是否清晰，是否存在转移挪用问题，债权债务清理是否及时；项目收入是否及时清算，来源是否核实，收入分配是否存在问题。</w:t>
            </w:r>
          </w:p>
          <w:p>
            <w:pPr>
              <w:pStyle w:val="null3"/>
              <w:ind w:firstLine="640"/>
            </w:pPr>
            <w:r>
              <w:rPr>
                <w:rFonts w:ascii="仿宋_GB2312" w:hAnsi="仿宋_GB2312" w:cs="仿宋_GB2312" w:eastAsia="仿宋_GB2312"/>
                <w:sz w:val="24"/>
                <w:color w:val="0000FF"/>
              </w:rPr>
              <w:t>11）尾工审计。</w:t>
            </w:r>
          </w:p>
          <w:p>
            <w:pPr>
              <w:pStyle w:val="null3"/>
              <w:ind w:firstLine="640"/>
            </w:pPr>
            <w:r>
              <w:rPr>
                <w:rFonts w:ascii="仿宋_GB2312" w:hAnsi="仿宋_GB2312" w:cs="仿宋_GB2312" w:eastAsia="仿宋_GB2312"/>
                <w:sz w:val="24"/>
                <w:color w:val="0000FF"/>
              </w:rPr>
              <w:t>包括未完部分工程量的真实性和预留投资金额的真实性。</w:t>
            </w:r>
          </w:p>
          <w:p>
            <w:pPr>
              <w:pStyle w:val="null3"/>
              <w:ind w:firstLine="640"/>
            </w:pPr>
            <w:r>
              <w:rPr>
                <w:rFonts w:ascii="仿宋_GB2312" w:hAnsi="仿宋_GB2312" w:cs="仿宋_GB2312" w:eastAsia="仿宋_GB2312"/>
                <w:sz w:val="24"/>
                <w:color w:val="0000FF"/>
              </w:rPr>
              <w:t>（</w:t>
            </w:r>
            <w:r>
              <w:rPr>
                <w:rFonts w:ascii="仿宋_GB2312" w:hAnsi="仿宋_GB2312" w:cs="仿宋_GB2312" w:eastAsia="仿宋_GB2312"/>
                <w:sz w:val="24"/>
                <w:color w:val="0000FF"/>
              </w:rPr>
              <w:t>2</w:t>
            </w:r>
            <w:r>
              <w:rPr>
                <w:rFonts w:ascii="仿宋_GB2312" w:hAnsi="仿宋_GB2312" w:cs="仿宋_GB2312" w:eastAsia="仿宋_GB2312"/>
                <w:sz w:val="24"/>
                <w:color w:val="0000FF"/>
              </w:rPr>
              <w:t>）</w:t>
            </w:r>
            <w:r>
              <w:rPr>
                <w:rFonts w:ascii="仿宋_GB2312" w:hAnsi="仿宋_GB2312" w:cs="仿宋_GB2312" w:eastAsia="仿宋_GB2312"/>
                <w:sz w:val="24"/>
                <w:color w:val="0000FF"/>
              </w:rPr>
              <w:t>跟踪审计服务要求</w:t>
            </w:r>
          </w:p>
          <w:p>
            <w:pPr>
              <w:pStyle w:val="null3"/>
              <w:ind w:firstLine="640"/>
            </w:pPr>
            <w:r>
              <w:rPr>
                <w:rFonts w:ascii="仿宋_GB2312" w:hAnsi="仿宋_GB2312" w:cs="仿宋_GB2312" w:eastAsia="仿宋_GB2312"/>
                <w:sz w:val="24"/>
                <w:color w:val="0000FF"/>
              </w:rPr>
              <w:t>要求审计单位定期提交报告，并参与重要节点（如采购文件审核、单体功能、项目验收）的现场审计</w:t>
            </w:r>
          </w:p>
          <w:p>
            <w:pPr>
              <w:pStyle w:val="null3"/>
              <w:ind w:firstLine="640"/>
            </w:pPr>
            <w:r>
              <w:rPr>
                <w:rFonts w:ascii="仿宋_GB2312" w:hAnsi="仿宋_GB2312" w:cs="仿宋_GB2312" w:eastAsia="仿宋_GB2312"/>
                <w:sz w:val="24"/>
                <w:b/>
                <w:color w:val="0000FF"/>
              </w:rPr>
              <w:t>2．交付成果</w:t>
            </w:r>
          </w:p>
          <w:p>
            <w:pPr>
              <w:pStyle w:val="null3"/>
              <w:ind w:firstLine="640"/>
            </w:pPr>
            <w:r>
              <w:rPr>
                <w:rFonts w:ascii="仿宋_GB2312" w:hAnsi="仿宋_GB2312" w:cs="仿宋_GB2312" w:eastAsia="仿宋_GB2312"/>
                <w:sz w:val="24"/>
                <w:color w:val="0000FF"/>
              </w:rPr>
              <w:t>第三方审计服务</w:t>
            </w:r>
            <w:r>
              <w:rPr>
                <w:rFonts w:ascii="仿宋_GB2312" w:hAnsi="仿宋_GB2312" w:cs="仿宋_GB2312" w:eastAsia="仿宋_GB2312"/>
                <w:sz w:val="24"/>
                <w:color w:val="0000FF"/>
              </w:rPr>
              <w:t>成果包括但不限于以下内容：</w:t>
            </w:r>
          </w:p>
          <w:p>
            <w:pPr>
              <w:pStyle w:val="null3"/>
              <w:ind w:firstLine="640"/>
            </w:pPr>
            <w:r>
              <w:rPr>
                <w:rFonts w:ascii="仿宋_GB2312" w:hAnsi="仿宋_GB2312" w:cs="仿宋_GB2312" w:eastAsia="仿宋_GB2312"/>
                <w:sz w:val="24"/>
                <w:color w:val="0000FF"/>
              </w:rPr>
              <w:t>竣工结算审核报告及决算审计报告纸质版</w:t>
            </w:r>
            <w:r>
              <w:rPr>
                <w:rFonts w:ascii="仿宋_GB2312" w:hAnsi="仿宋_GB2312" w:cs="仿宋_GB2312" w:eastAsia="仿宋_GB2312"/>
                <w:sz w:val="24"/>
                <w:color w:val="0000FF"/>
              </w:rPr>
              <w:t>3套，电子版1套；</w:t>
            </w:r>
          </w:p>
          <w:p>
            <w:pPr>
              <w:pStyle w:val="null3"/>
              <w:ind w:firstLine="640"/>
            </w:pPr>
            <w:r>
              <w:rPr>
                <w:rFonts w:ascii="仿宋_GB2312" w:hAnsi="仿宋_GB2312" w:cs="仿宋_GB2312" w:eastAsia="仿宋_GB2312"/>
                <w:sz w:val="24"/>
                <w:color w:val="0000FF"/>
              </w:rPr>
              <w:t>整改行动计划：针对审计发现提出的具体、可操作的改进措施和时间表。</w:t>
            </w:r>
          </w:p>
          <w:p>
            <w:pPr>
              <w:pStyle w:val="null3"/>
              <w:ind w:firstLine="640"/>
            </w:pPr>
            <w:r>
              <w:rPr>
                <w:rFonts w:ascii="仿宋_GB2312" w:hAnsi="仿宋_GB2312" w:cs="仿宋_GB2312" w:eastAsia="仿宋_GB2312"/>
                <w:sz w:val="24"/>
                <w:color w:val="0000FF"/>
              </w:rPr>
              <w:t>跟踪审计报告：在后续审计中，验证整改措施是否有效落实、风险是否得到缓解的报告。</w:t>
            </w:r>
          </w:p>
          <w:p>
            <w:pPr>
              <w:pStyle w:val="null3"/>
              <w:ind w:firstLine="643"/>
            </w:pPr>
            <w:r>
              <w:rPr>
                <w:rFonts w:ascii="仿宋_GB2312" w:hAnsi="仿宋_GB2312" w:cs="仿宋_GB2312" w:eastAsia="仿宋_GB2312"/>
                <w:sz w:val="24"/>
                <w:b/>
                <w:color w:val="0000FF"/>
              </w:rPr>
              <w:t>3．服务要求</w:t>
            </w:r>
          </w:p>
          <w:p>
            <w:pPr>
              <w:pStyle w:val="null3"/>
              <w:ind w:firstLine="640"/>
            </w:pPr>
            <w:r>
              <w:rPr>
                <w:rFonts w:ascii="仿宋_GB2312" w:hAnsi="仿宋_GB2312" w:cs="仿宋_GB2312" w:eastAsia="仿宋_GB2312"/>
                <w:sz w:val="24"/>
                <w:color w:val="0000FF"/>
              </w:rPr>
              <w:t>（</w:t>
            </w:r>
            <w:r>
              <w:rPr>
                <w:rFonts w:ascii="仿宋_GB2312" w:hAnsi="仿宋_GB2312" w:cs="仿宋_GB2312" w:eastAsia="仿宋_GB2312"/>
                <w:sz w:val="24"/>
                <w:color w:val="0000FF"/>
              </w:rPr>
              <w:t>1）应按照国家、陕西省相关标准执行；</w:t>
            </w:r>
          </w:p>
          <w:p>
            <w:pPr>
              <w:pStyle w:val="null3"/>
              <w:ind w:firstLine="640"/>
            </w:pPr>
            <w:r>
              <w:rPr>
                <w:rFonts w:ascii="仿宋_GB2312" w:hAnsi="仿宋_GB2312" w:cs="仿宋_GB2312" w:eastAsia="仿宋_GB2312"/>
                <w:sz w:val="24"/>
                <w:color w:val="0000FF"/>
              </w:rPr>
              <w:t>（</w:t>
            </w:r>
            <w:r>
              <w:rPr>
                <w:rFonts w:ascii="仿宋_GB2312" w:hAnsi="仿宋_GB2312" w:cs="仿宋_GB2312" w:eastAsia="仿宋_GB2312"/>
                <w:sz w:val="24"/>
                <w:color w:val="0000FF"/>
              </w:rPr>
              <w:t>2）参与项目的管理及技术人员应签署保密协议，遵守工作纪律和保密要求；</w:t>
            </w:r>
          </w:p>
          <w:p>
            <w:pPr>
              <w:pStyle w:val="null3"/>
              <w:ind w:firstLine="640"/>
            </w:pPr>
            <w:r>
              <w:rPr>
                <w:rFonts w:ascii="仿宋_GB2312" w:hAnsi="仿宋_GB2312" w:cs="仿宋_GB2312" w:eastAsia="仿宋_GB2312"/>
                <w:sz w:val="24"/>
                <w:color w:val="0000FF"/>
              </w:rPr>
              <w:t>（</w:t>
            </w:r>
            <w:r>
              <w:rPr>
                <w:rFonts w:ascii="仿宋_GB2312" w:hAnsi="仿宋_GB2312" w:cs="仿宋_GB2312" w:eastAsia="仿宋_GB2312"/>
                <w:sz w:val="24"/>
                <w:color w:val="0000FF"/>
              </w:rPr>
              <w:t>3）服务成果以资料汇编形式提交；</w:t>
            </w:r>
          </w:p>
          <w:p>
            <w:pPr>
              <w:pStyle w:val="null3"/>
              <w:ind w:firstLine="640"/>
            </w:pPr>
            <w:r>
              <w:rPr>
                <w:rFonts w:ascii="仿宋_GB2312" w:hAnsi="仿宋_GB2312" w:cs="仿宋_GB2312" w:eastAsia="仿宋_GB2312"/>
                <w:sz w:val="24"/>
                <w:color w:val="0000FF"/>
              </w:rPr>
              <w:t>（</w:t>
            </w:r>
            <w:r>
              <w:rPr>
                <w:rFonts w:ascii="仿宋_GB2312" w:hAnsi="仿宋_GB2312" w:cs="仿宋_GB2312" w:eastAsia="仿宋_GB2312"/>
                <w:sz w:val="24"/>
                <w:color w:val="0000FF"/>
              </w:rPr>
              <w:t>4）进度明确，节点清晰。按时出具审计报告，保证审计报告内容的真实性、可靠性。</w:t>
            </w:r>
          </w:p>
          <w:p>
            <w:pPr>
              <w:pStyle w:val="null3"/>
            </w:pP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w:t>
            </w:r>
            <w:r>
              <w:rPr>
                <w:rFonts w:ascii="仿宋_GB2312" w:hAnsi="仿宋_GB2312" w:cs="仿宋_GB2312" w:eastAsia="仿宋_GB2312"/>
                <w:sz w:val="24"/>
                <w:color w:val="0000FF"/>
              </w:rPr>
              <w:t>5）服务期限通常覆盖项目全周期，含质保期内的复核。</w:t>
            </w:r>
          </w:p>
          <w:p>
            <w:pPr>
              <w:pStyle w:val="null3"/>
            </w:pPr>
            <w:r>
              <w:rPr>
                <w:rFonts w:ascii="仿宋_GB2312" w:hAnsi="仿宋_GB2312" w:cs="仿宋_GB2312" w:eastAsia="仿宋_GB2312"/>
                <w:sz w:val="24"/>
                <w:color w:val="0000FF"/>
              </w:rPr>
              <w:t>注：服务内容及要求为实质性要求，不得负偏离。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保密约定 （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 （2）乙方应采取有效措施对甲方提供的资料和数据实施合乎规定(该类规定包括但不限于相关的保密法律、法规、规定、通知等)的保密处理措施，并对此负责； （3）乙方有义务遵守和配合执行甲方的保密管理规定与保密措施，并在项目实施完成后，归还甲方提供的全部资料，不得私自留存资料。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自合同签订之日起至项目终验合格之日止。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按合同约定地点（西安市内）。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以本项目合同、招投标文件、国家相关行业标准为验收依据进行验收。 2.验收方式 中标人提出验收申请之日起15日内组织验收。验收时，中标人应无条件予以配合并提供所需的全部资料。 3、验收成果：包括但不限于以下内容： 竣工结算审核报告及决算审计报告各纸质版3套，电子版1套。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项目通过终验验收后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2.未按合同要求提供服务质量不能满足技术要求，采购人有权终止合同，并对供应商违约行为进行追究，同时按《中华人民共和国政府采购法》的有关规定进行处罚。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成交人在领取成交通知书时提供一正两副纸质竞争性磋商响应文件。装订：纸质竞争性磋商响应文件采用书籍（胶装）方式装订成册，与电子版文件一致的签字、盖章的完整版本。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供应商需在项目电子化交易系统中按要求填写《投标函》完成承诺并进行电子签章。本项与特殊资格要求“控股关系查询”为同一审查内容。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完整有效的2024年度财务审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具备会计师事务所执业证书</w:t>
            </w:r>
          </w:p>
        </w:tc>
        <w:tc>
          <w:tcPr>
            <w:tcW w:type="dxa" w:w="3322"/>
          </w:tcPr>
          <w:p>
            <w:pPr>
              <w:pStyle w:val="null3"/>
            </w:pPr>
            <w:r>
              <w:rPr>
                <w:rFonts w:ascii="仿宋_GB2312" w:hAnsi="仿宋_GB2312" w:cs="仿宋_GB2312" w:eastAsia="仿宋_GB2312"/>
              </w:rPr>
              <w:t>具备会计师事务所执业证书；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中小企业声明函 报价表 商务条款响应偏离表.docx 服务条款响应偏离表.docx 资格证明文件.docx 响应文件封面 分项报价表.docx 供应商相关承诺书.docx 残疾人福利性单位声明函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服务、商务响应</w:t>
            </w:r>
          </w:p>
        </w:tc>
        <w:tc>
          <w:tcPr>
            <w:tcW w:type="dxa" w:w="3322"/>
          </w:tcPr>
          <w:p>
            <w:pPr>
              <w:pStyle w:val="null3"/>
            </w:pPr>
            <w:r>
              <w:rPr>
                <w:rFonts w:ascii="仿宋_GB2312" w:hAnsi="仿宋_GB2312" w:cs="仿宋_GB2312" w:eastAsia="仿宋_GB2312"/>
              </w:rPr>
              <w:t>对磋商文件服务、商务要求是否做出明确响应，对不得偏离的要求是否做了实质性响应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提供资料真实性承诺函</w:t>
            </w:r>
          </w:p>
        </w:tc>
        <w:tc>
          <w:tcPr>
            <w:tcW w:type="dxa" w:w="3322"/>
          </w:tcPr>
          <w:p>
            <w:pPr>
              <w:pStyle w:val="null3"/>
            </w:pPr>
            <w:r>
              <w:rPr>
                <w:rFonts w:ascii="仿宋_GB2312" w:hAnsi="仿宋_GB2312" w:cs="仿宋_GB2312" w:eastAsia="仿宋_GB2312"/>
              </w:rPr>
              <w:t>提供资料真实性承诺函</w:t>
            </w:r>
          </w:p>
        </w:tc>
        <w:tc>
          <w:tcPr>
            <w:tcW w:type="dxa" w:w="1661"/>
          </w:tcPr>
          <w:p>
            <w:pPr>
              <w:pStyle w:val="null3"/>
            </w:pPr>
            <w:r>
              <w:rPr>
                <w:rFonts w:ascii="仿宋_GB2312" w:hAnsi="仿宋_GB2312" w:cs="仿宋_GB2312" w:eastAsia="仿宋_GB2312"/>
              </w:rPr>
              <w:t>供应商相关承诺书.docx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供应商相关承诺书.docx 供应商认为有必要说明的事宜.docx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磋商响应文件无采购人不能接受的附加条件</w:t>
            </w:r>
          </w:p>
        </w:tc>
        <w:tc>
          <w:tcPr>
            <w:tcW w:type="dxa" w:w="1661"/>
          </w:tcPr>
          <w:p>
            <w:pPr>
              <w:pStyle w:val="null3"/>
            </w:pPr>
            <w:r>
              <w:rPr>
                <w:rFonts w:ascii="仿宋_GB2312" w:hAnsi="仿宋_GB2312" w:cs="仿宋_GB2312" w:eastAsia="仿宋_GB2312"/>
              </w:rPr>
              <w:t>供应商相关承诺书.docx 供应商认为有必要说明的事宜.docx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项目整体服务方案得分高的推荐第一成交候选人。评审得分且最后报价且整体服务方案得分均相同的，则由全体磋商小组成员无记名投票，得票高者为第一成交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业绩合同，每提供一个得2分，满分10分。以合同签订日期为准，提供合同复印件加盖公章（包含但不限于合同封面、甲乙双方信息页、合同金额页、项目建设内容与范围说明页、以及双方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整体理解方案</w:t>
            </w:r>
          </w:p>
        </w:tc>
        <w:tc>
          <w:tcPr>
            <w:tcW w:type="dxa" w:w="2492"/>
          </w:tcPr>
          <w:p>
            <w:pPr>
              <w:pStyle w:val="null3"/>
            </w:pPr>
            <w:r>
              <w:rPr>
                <w:rFonts w:ascii="仿宋_GB2312" w:hAnsi="仿宋_GB2312" w:cs="仿宋_GB2312" w:eastAsia="仿宋_GB2312"/>
              </w:rPr>
              <w:t>供应商提供针对本项目的整体理解方案。 ①充分理解本项目服务需求对项目现状和整体认知的理解，服务理念、工作目标、整体设想和策划完善，思路清晰明确得6分； ②理解方案完整合理，但条理不清晰或目标及理念等不具体，得4分； ③整体方案内容有缺陷或整体描述简略，计2分； ④方案内容表述前后不一致、套用其他项目方案或与项目需求匹配性差，得1分； ⑤未提供不得分。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整体理解方案.docx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整体服务方案包括但不限于以下内容：1、质量控制保障措施。2、按照采购人的质量要求出具成果，专项审计工作流程及工作要点；3、审计程序及方法；4、可预见项目存在的问题。 ①整体服务方案各项内容全面详细、阐述条理清晰、流程及要求清晰、程序及方法合理可行，能有效保障本项目实施，得12分； ②整体服务方案各项内容全面，但各项内容表述不具体或条理不清晰，得9分； ③整体服务方案有1项缺项或整体表述简单，得6分； ④整体服务方案有2-3项缺项，得4分； ⑤整体服务方案与项目需求不匹配或套用其他项目方案，无实质性内容，得2分； ⑥未提供的不得分。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具体实施方案</w:t>
            </w:r>
          </w:p>
        </w:tc>
        <w:tc>
          <w:tcPr>
            <w:tcW w:type="dxa" w:w="2492"/>
          </w:tcPr>
          <w:p>
            <w:pPr>
              <w:pStyle w:val="null3"/>
            </w:pPr>
            <w:r>
              <w:rPr>
                <w:rFonts w:ascii="仿宋_GB2312" w:hAnsi="仿宋_GB2312" w:cs="仿宋_GB2312" w:eastAsia="仿宋_GB2312"/>
              </w:rPr>
              <w:t>针对本项目的结决算审计服务阐述具体实施方案。 ①实施方案全面具体，内容完整，条理清晰，得5分。 ②方案完整合理，但条理不清晰、实施措施不具体，得4分； ③方案内容有缺项或整体描述简略，计3分； ④方案内容表述前后不一致、套用其他项目方案或与项目需求匹配性差，无实质性内容，得2分；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具体实施方案.docx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进度保证措施方案包括但不限于以下内容：1、对结决算审计服务的进度保证措施；2、有完整的工作大纲、工作计划、工作时效；3、关键节点安排。 ①进度保证措施方案各项内容全面详细、阐述条理清晰、流程及要求清晰、程序及方法合理可行，能有效保障本项目实施，得9分； ②进度保证措施方案各项内容全面，但各项内容表述不具体或条理不清晰，得7分； ③进度保证措施方案有1项缺项或整体表述简单，得5分； ④进度保证措施方案有2项缺项，得3分； ⑤进度保证措施方案与项目需求不匹配或无实质性内容，得1分； ⑥未提供的不得分。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重难点梳理</w:t>
            </w:r>
          </w:p>
        </w:tc>
        <w:tc>
          <w:tcPr>
            <w:tcW w:type="dxa" w:w="2492"/>
          </w:tcPr>
          <w:p>
            <w:pPr>
              <w:pStyle w:val="null3"/>
            </w:pPr>
            <w:r>
              <w:rPr>
                <w:rFonts w:ascii="仿宋_GB2312" w:hAnsi="仿宋_GB2312" w:cs="仿宋_GB2312" w:eastAsia="仿宋_GB2312"/>
              </w:rPr>
              <w:t>对专项审计的重难点梳理。 ①熟悉结决算审计服务项目，对重难点梳理清晰、全面，有针对性措施，措施具体，得5分； ②了解结决算审计服务项目，有重难点分析但条理清晰或内容不具体，得3分； ③项目重点难点分析内容表述前后不一致、存在逻辑漏洞、科学原理或常识错误，与项目需求不匹配及其他不利于项目实施得1分；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重难点梳理.docx</w:t>
            </w:r>
          </w:p>
        </w:tc>
      </w:tr>
      <w:tr>
        <w:tc>
          <w:tcPr>
            <w:tcW w:type="dxa" w:w="831"/>
            <w:vMerge/>
          </w:tcPr>
          <w:p/>
        </w:tc>
        <w:tc>
          <w:tcPr>
            <w:tcW w:type="dxa" w:w="1661"/>
          </w:tcPr>
          <w:p>
            <w:pPr>
              <w:pStyle w:val="null3"/>
            </w:pPr>
            <w:r>
              <w:rPr>
                <w:rFonts w:ascii="仿宋_GB2312" w:hAnsi="仿宋_GB2312" w:cs="仿宋_GB2312" w:eastAsia="仿宋_GB2312"/>
              </w:rPr>
              <w:t>预见性建议</w:t>
            </w:r>
          </w:p>
        </w:tc>
        <w:tc>
          <w:tcPr>
            <w:tcW w:type="dxa" w:w="2492"/>
          </w:tcPr>
          <w:p>
            <w:pPr>
              <w:pStyle w:val="null3"/>
            </w:pPr>
            <w:r>
              <w:rPr>
                <w:rFonts w:ascii="仿宋_GB2312" w:hAnsi="仿宋_GB2312" w:cs="仿宋_GB2312" w:eastAsia="仿宋_GB2312"/>
              </w:rPr>
              <w:t>对项目实施过程中能提供预见性建议。 ①合理化建议全面、合理，可行性高、针对性强，得5分； ②有合理化建议，但整体描述不具体或无针对性，得3分； ③合理化建议内容不完善或内容表述前后不一致、与项目需求不匹配及其他不利于项目实施，得1分；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预见性建议.docx</w:t>
            </w:r>
          </w:p>
        </w:tc>
      </w:tr>
      <w:tr>
        <w:tc>
          <w:tcPr>
            <w:tcW w:type="dxa" w:w="831"/>
            <w:vMerge/>
          </w:tcPr>
          <w:p/>
        </w:tc>
        <w:tc>
          <w:tcPr>
            <w:tcW w:type="dxa" w:w="1661"/>
          </w:tcPr>
          <w:p>
            <w:pPr>
              <w:pStyle w:val="null3"/>
            </w:pPr>
            <w:r>
              <w:rPr>
                <w:rFonts w:ascii="仿宋_GB2312" w:hAnsi="仿宋_GB2312" w:cs="仿宋_GB2312" w:eastAsia="仿宋_GB2312"/>
              </w:rPr>
              <w:t>应急服务承诺及措施</w:t>
            </w:r>
          </w:p>
        </w:tc>
        <w:tc>
          <w:tcPr>
            <w:tcW w:type="dxa" w:w="2492"/>
          </w:tcPr>
          <w:p>
            <w:pPr>
              <w:pStyle w:val="null3"/>
            </w:pPr>
            <w:r>
              <w:rPr>
                <w:rFonts w:ascii="仿宋_GB2312" w:hAnsi="仿宋_GB2312" w:cs="仿宋_GB2312" w:eastAsia="仿宋_GB2312"/>
              </w:rPr>
              <w:t>针对在审计工作中，因特殊情况对审计时限的要求有特殊的应急服务承诺及措施。 ①内容全面详细，有针对性措施，具体可行，得5分； ②有应急服务承诺，但措施不具体或条理不清晰，得3分； ③内容不完善或内容表述前后不一致、与项目需求不匹配，得1分；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应急服务承诺及措施.docx</w:t>
            </w:r>
          </w:p>
        </w:tc>
      </w:tr>
      <w:tr>
        <w:tc>
          <w:tcPr>
            <w:tcW w:type="dxa" w:w="831"/>
            <w:vMerge/>
          </w:tcPr>
          <w:p/>
        </w:tc>
        <w:tc>
          <w:tcPr>
            <w:tcW w:type="dxa" w:w="1661"/>
          </w:tcPr>
          <w:p>
            <w:pPr>
              <w:pStyle w:val="null3"/>
            </w:pPr>
            <w:r>
              <w:rPr>
                <w:rFonts w:ascii="仿宋_GB2312" w:hAnsi="仿宋_GB2312" w:cs="仿宋_GB2312" w:eastAsia="仿宋_GB2312"/>
              </w:rPr>
              <w:t>档案管理制度方案</w:t>
            </w:r>
          </w:p>
        </w:tc>
        <w:tc>
          <w:tcPr>
            <w:tcW w:type="dxa" w:w="2492"/>
          </w:tcPr>
          <w:p>
            <w:pPr>
              <w:pStyle w:val="null3"/>
            </w:pPr>
            <w:r>
              <w:rPr>
                <w:rFonts w:ascii="仿宋_GB2312" w:hAnsi="仿宋_GB2312" w:cs="仿宋_GB2312" w:eastAsia="仿宋_GB2312"/>
              </w:rPr>
              <w:t>供应商提供档案管理制度方案，包括但不限于：1、档案资料管理制度；2、移交工作制度。 ①方案各项内容全面详细、阐述条理清晰，制度可操作性强，具体细致，内容贴合实际。能有效保障本项目实施，得6分， ②方案各项内容完整，但条理不清晰或各项内容不具体，得4分， ③方案有1项缺项或整体表述简单，得2分； ④方案与项目需求不匹配或无实质性内容，得1分； ⑤未提供不得分。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档案管理制度方案.docx</w:t>
            </w:r>
          </w:p>
        </w:tc>
      </w:tr>
      <w:tr>
        <w:tc>
          <w:tcPr>
            <w:tcW w:type="dxa" w:w="831"/>
            <w:vMerge/>
          </w:tcPr>
          <w:p/>
        </w:tc>
        <w:tc>
          <w:tcPr>
            <w:tcW w:type="dxa" w:w="1661"/>
          </w:tcPr>
          <w:p>
            <w:pPr>
              <w:pStyle w:val="null3"/>
            </w:pPr>
            <w:r>
              <w:rPr>
                <w:rFonts w:ascii="仿宋_GB2312" w:hAnsi="仿宋_GB2312" w:cs="仿宋_GB2312" w:eastAsia="仿宋_GB2312"/>
              </w:rPr>
              <w:t>拟派项目组人员1（拟派项目总负责人）</w:t>
            </w:r>
          </w:p>
        </w:tc>
        <w:tc>
          <w:tcPr>
            <w:tcW w:type="dxa" w:w="2492"/>
          </w:tcPr>
          <w:p>
            <w:pPr>
              <w:pStyle w:val="null3"/>
            </w:pPr>
            <w:r>
              <w:rPr>
                <w:rFonts w:ascii="仿宋_GB2312" w:hAnsi="仿宋_GB2312" w:cs="仿宋_GB2312" w:eastAsia="仿宋_GB2312"/>
              </w:rPr>
              <w:t>拟派项目总负责人具有高级审计师职称得2分；具有注册会计师得2分；未提供不得分；有信息化项目审计的经验（提供项目合同，合同中能清晰显示负责人姓名），计1分 （提供总负责人开标前近三个月中任意一个月在本单位的社保缴纳证明，否则以上不计分）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拟派项目组人员2（项目组其他人员）</w:t>
            </w:r>
          </w:p>
        </w:tc>
        <w:tc>
          <w:tcPr>
            <w:tcW w:type="dxa" w:w="2492"/>
          </w:tcPr>
          <w:p>
            <w:pPr>
              <w:pStyle w:val="null3"/>
            </w:pPr>
            <w:r>
              <w:rPr>
                <w:rFonts w:ascii="仿宋_GB2312" w:hAnsi="仿宋_GB2312" w:cs="仿宋_GB2312" w:eastAsia="仿宋_GB2312"/>
              </w:rPr>
              <w:t>项目组其他人员总数不少于6人（其中至少2名注册会计师）。满足上述要求得基础分2分。 在上述要求基础上：1、注册会计师每增加1人加1分，最多加3分； 2、具有高级职称的每增加1人加2分，中级职称每增加1人加1分，本项最多加2分。（相同人员不重复计分）（提供人员开标前近三个月中任意一个月在本单位的社保缴纳证明，否则以上不计分）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拟派项目组人员3（工作组成员）</w:t>
            </w:r>
          </w:p>
        </w:tc>
        <w:tc>
          <w:tcPr>
            <w:tcW w:type="dxa" w:w="2492"/>
          </w:tcPr>
          <w:p>
            <w:pPr>
              <w:pStyle w:val="null3"/>
            </w:pPr>
            <w:r>
              <w:rPr>
                <w:rFonts w:ascii="仿宋_GB2312" w:hAnsi="仿宋_GB2312" w:cs="仿宋_GB2312" w:eastAsia="仿宋_GB2312"/>
              </w:rPr>
              <w:t>供应商提供针对本项目拟投入的工作组成员的情况说明及经验能力证明材料。 方案内容包括但不限于: 1、工作组成员管理组织架构、人员分工；2、工作职责划分；3、业务管理流程等内容。 ①方案所涉及的拟投入的工作组成员管理组织架构清晰，人员分工和工作职责划分明确、业务管理流程详细，能有效保障本项目实施，得6分； ②方案各项内容完整，但条理不清晰或各项内容不具体，得5分， ③方案有1项缺项或整体表述简单，得4分； ④方案有2项缺项，得3分； ⑤方案与项目需求不匹配或无实质性内容，得2分； ⑥未提供的不得分。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供应商提供在审计工作中的保密措施。 ①内容梳理清晰、全面，有针对性措施，得3分； ②有保密承诺，但措施不具体或条理不清晰，2分； ③保密措施整体描述简单或无实质性内容，得1分； ④未提供不得分。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投标人针对项目完成后的售后服务方案，方案包括但不限于：1、底稿的存档工作方案；2、后续交接配合工作方案。 ①方案各项内容全面详细、阐述条理清晰，具体细致，内容贴合实际。能有效保障本项目实施，得6分， ②方案各项内容完整，但条理不清晰或各项内容不具体，得4分， ③方案有1项缺项或整体表述简单，得2分； ④方案与项目需求不匹配或无实质性内容，得1分； ⑤未提供不得分。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磋商文件要求且磋商价格最低的磋商报价为评标基准价，其价格分为满分。其他供应商的价格分统一按照下列公式计算： 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详见附件：档案管理制度方案.docx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详见附件：供应商相关承诺书.docx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详见附件：具体实施方案.docx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详见附件：应急服务承诺及措施.docx</w:t>
      </w:r>
    </w:p>
    <w:p>
      <w:pPr>
        <w:pStyle w:val="null3"/>
        <w:ind w:firstLine="960"/>
      </w:pPr>
      <w:r>
        <w:rPr>
          <w:rFonts w:ascii="仿宋_GB2312" w:hAnsi="仿宋_GB2312" w:cs="仿宋_GB2312" w:eastAsia="仿宋_GB2312"/>
        </w:rPr>
        <w:t>详见附件：预见性建议.docx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详见附件：整体理解方案.docx</w:t>
      </w:r>
    </w:p>
    <w:p>
      <w:pPr>
        <w:pStyle w:val="null3"/>
        <w:ind w:firstLine="960"/>
      </w:pPr>
      <w:r>
        <w:rPr>
          <w:rFonts w:ascii="仿宋_GB2312" w:hAnsi="仿宋_GB2312" w:cs="仿宋_GB2312" w:eastAsia="仿宋_GB2312"/>
        </w:rPr>
        <w:t>详见附件：重难点梳理.docx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