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版本号：SXWZ2025ZB-SXCB-29120251201001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“唐诗之都”VI设计项目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SXWZ2025ZB-SXCB-291</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“唐诗之都”VI设计项目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SXWZ2025ZB-SXCB-291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“唐诗之都”VI设计项目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“唐诗之都”VI设计项目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采购包1（“唐诗之都”VI设计项目）：属于专门面向中小企业采购。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3、税收缴纳证明：供应商提供本单位2025年1月至今已缴纳的至少一个月纳税证明或完税证明，依法免税的单位应提供相关证明材料；（以税款所属日期为准）</w:t>
      </w:r>
    </w:p>
    <w:p>
      <w:pPr>
        <w:pStyle w:val="null3"/>
      </w:pPr>
      <w:r>
        <w:rPr>
          <w:rFonts w:ascii="仿宋_GB2312" w:hAnsi="仿宋_GB2312" w:cs="仿宋_GB2312" w:eastAsia="仿宋_GB2312"/>
        </w:rPr>
        <w:t>4、财务状况证明：提供本单位经会计师事务所审计的2023年或2024年任意一年的财务审计报告(报告须带有二维码可验证)或在开标日期前六个月内其基本开户银行出具的资信证明；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6、授权书：非法定代表人参加投标，须提供法定代表人授权委托书及被授权人身份证；法定代表人参加投标时,须提供法定代表人身份证明书；</w:t>
      </w:r>
    </w:p>
    <w:p>
      <w:pPr>
        <w:pStyle w:val="null3"/>
      </w:pPr>
      <w:r>
        <w:rPr>
          <w:rFonts w:ascii="仿宋_GB2312" w:hAnsi="仿宋_GB2312" w:cs="仿宋_GB2312" w:eastAsia="仿宋_GB2312"/>
        </w:rPr>
        <w:t>7、中小企业声明函：本项目专门面向中小企业，供应商须提供中小企业声明函；</w:t>
      </w:r>
    </w:p>
    <w:p>
      <w:pPr>
        <w:pStyle w:val="null3"/>
      </w:pPr>
      <w:r>
        <w:rPr>
          <w:rFonts w:ascii="仿宋_GB2312" w:hAnsi="仿宋_GB2312" w:cs="仿宋_GB2312" w:eastAsia="仿宋_GB2312"/>
        </w:rPr>
        <w:t>8、本项目不接受联合体磋商：本项目不接受联合体磋商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029-67090715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详见采购文件、响应文件和合同约定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 薛毅凡</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“唐诗之都”VI设计项目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“唐诗之都”VI设计项目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标的名称：“唐诗之都”VI设计项目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rPr>
              <w:t>一、</w:t>
            </w:r>
            <w:r>
              <w:rPr>
                <w:rFonts w:ascii="仿宋_GB2312" w:hAnsi="仿宋_GB2312" w:cs="仿宋_GB2312" w:eastAsia="仿宋_GB2312"/>
                <w:sz w:val="22"/>
              </w:rPr>
              <w:t>项目内容：</w:t>
            </w:r>
          </w:p>
          <w:p>
            <w:pPr>
              <w:pStyle w:val="null3"/>
            </w:pPr>
            <w:r>
              <w:rPr>
                <w:rFonts w:ascii="仿宋_GB2312" w:hAnsi="仿宋_GB2312" w:cs="仿宋_GB2312" w:eastAsia="仿宋_GB2312"/>
                <w:sz w:val="22"/>
              </w:rPr>
              <w:t>1.</w:t>
            </w:r>
            <w:r>
              <w:rPr>
                <w:rFonts w:ascii="仿宋_GB2312" w:hAnsi="仿宋_GB2312" w:cs="仿宋_GB2312" w:eastAsia="仿宋_GB2312"/>
                <w:sz w:val="22"/>
              </w:rPr>
              <w:t>设计</w:t>
            </w:r>
            <w:r>
              <w:rPr>
                <w:rFonts w:ascii="仿宋_GB2312" w:hAnsi="仿宋_GB2312" w:cs="仿宋_GB2312" w:eastAsia="仿宋_GB2312"/>
                <w:sz w:val="22"/>
              </w:rPr>
              <w:t>“唐诗之都”城市文化品牌LOGO。设计一个具有高辨识度、艺术性与传播力的LOGO符号，作为“唐诗之都”城市文化品牌核心IP形象，应用于所有宣传物料、数字平台与实体景观中，形成统一的品牌聚合效应。</w:t>
            </w:r>
          </w:p>
          <w:p>
            <w:pPr>
              <w:pStyle w:val="null3"/>
            </w:pPr>
            <w:r>
              <w:rPr>
                <w:rFonts w:ascii="仿宋_GB2312" w:hAnsi="仿宋_GB2312" w:cs="仿宋_GB2312" w:eastAsia="仿宋_GB2312"/>
                <w:sz w:val="22"/>
              </w:rPr>
              <w:t>2.</w:t>
            </w:r>
            <w:r>
              <w:rPr>
                <w:rFonts w:ascii="仿宋_GB2312" w:hAnsi="仿宋_GB2312" w:cs="仿宋_GB2312" w:eastAsia="仿宋_GB2312"/>
                <w:sz w:val="22"/>
              </w:rPr>
              <w:t>设计</w:t>
            </w:r>
            <w:r>
              <w:rPr>
                <w:rFonts w:ascii="仿宋_GB2312" w:hAnsi="仿宋_GB2312" w:cs="仿宋_GB2312" w:eastAsia="仿宋_GB2312"/>
                <w:sz w:val="22"/>
              </w:rPr>
              <w:t>“唐诗之都”城市文化主视觉海报和系列海报。设计1幅唐诗之都主海报和10幅不同运用场景系列海报（包含部分电子屏动态海报）。主要用于机场等大型交通场站、城市外立面户外大屏以及社区小区、商超写字楼、宾馆酒店、公交地铁等“点线面”不同宣传载体空间。</w:t>
            </w:r>
          </w:p>
          <w:p>
            <w:pPr>
              <w:pStyle w:val="null3"/>
            </w:pPr>
            <w:r>
              <w:rPr>
                <w:rFonts w:ascii="仿宋_GB2312" w:hAnsi="仿宋_GB2312" w:cs="仿宋_GB2312" w:eastAsia="仿宋_GB2312"/>
                <w:sz w:val="22"/>
              </w:rPr>
              <w:t>二、</w:t>
            </w:r>
            <w:r>
              <w:rPr>
                <w:rFonts w:ascii="仿宋_GB2312" w:hAnsi="仿宋_GB2312" w:cs="仿宋_GB2312" w:eastAsia="仿宋_GB2312"/>
                <w:sz w:val="22"/>
              </w:rPr>
              <w:t>服务及验收要求</w:t>
            </w:r>
          </w:p>
          <w:p>
            <w:pPr>
              <w:pStyle w:val="null3"/>
            </w:pPr>
            <w:r>
              <w:rPr>
                <w:rFonts w:ascii="仿宋_GB2312" w:hAnsi="仿宋_GB2312" w:cs="仿宋_GB2312" w:eastAsia="仿宋_GB2312"/>
                <w:sz w:val="22"/>
              </w:rPr>
              <w:t>1.结合采购需求和重点，设计“唐诗之都”城市文化品牌LOGO，“唐诗之都”城市文化主视觉海报和系列海报。相关设计内容要求重点突出，特色鲜明，自成体系。</w:t>
            </w:r>
          </w:p>
          <w:p>
            <w:pPr>
              <w:pStyle w:val="null3"/>
              <w:jc w:val="both"/>
            </w:pPr>
            <w:r>
              <w:rPr>
                <w:rFonts w:ascii="仿宋_GB2312" w:hAnsi="仿宋_GB2312" w:cs="仿宋_GB2312" w:eastAsia="仿宋_GB2312"/>
                <w:sz w:val="22"/>
              </w:rPr>
              <w:t>2.包含视觉设计调研、品牌定位、竞品分析、制作矢量图及源文件、LOGO使用规范、设计及创意以及不同场景匹配文件制作。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采购包1：所有为履行本合同而产生的交付成果，其全部知识产归采购人所有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 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合同签订且供应商开具增值税发票后，以银行转账方式 </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 壹份。 纸质投标文件正副本均需胶装， 若电子投标文件与纸质投标文件不一致的，以在线提交的电子投标文件为准； 线下递交文件地点： 西安市高新区唐延路旺座现代城C座25楼2502室；若选择邮寄，请邮寄至旺座现代城C座25楼2502室。联系电话：029-88319689-8006 邮箱：sxwzzb@126.com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供应商提供本单位2025年1月至今已缴纳的至少一个月纳税证明或完税证明，依法免税的单位应提供相关证明材料；（以税款所属日期为准）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提供本单位经会计师事务所审计的2023年或2024年任意一年的财务审计报告(报告须带有二维码可验证)或在开标日期前六个月内其基本开户银行出具的资信证明；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响应报价未超过预算或最高限价</w:t>
            </w:r>
          </w:p>
        </w:tc>
        <w:tc>
          <w:tcPr>
            <w:tcW w:type="dxa" w:w="1661"/>
          </w:tcPr>
          <w:p>
            <w:pPr>
              <w:pStyle w:val="null3"/>
            </w:pPr>
            <w:r>
              <w:rPr>
                <w:rFonts w:ascii="仿宋_GB2312" w:hAnsi="仿宋_GB2312" w:cs="仿宋_GB2312" w:eastAsia="仿宋_GB2312"/>
              </w:rPr>
              <w:t>01分项报价表.docx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01分项报价表.docx 中小企业声明函 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15.供应商认为其他有必要说明的其他问题.docx 3.商务和服务响应偏离表.docx 14.供应商承诺书.docx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根据供应商针对本项目制定的需求响应方案，包括但不限于：①项目理解②需求响应及分析③项目重难点分析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4.项目需求理解及分析.docx</w:t>
            </w:r>
          </w:p>
        </w:tc>
      </w:tr>
      <w:tr>
        <w:tc>
          <w:tcPr>
            <w:tcW w:type="dxa" w:w="831"/>
            <w:vMerge/>
          </w:tcPr>
          <w:p/>
        </w:tc>
        <w:tc>
          <w:tcPr>
            <w:tcW w:type="dxa" w:w="1661"/>
          </w:tcPr>
          <w:p>
            <w:pPr>
              <w:pStyle w:val="null3"/>
            </w:pPr>
            <w:r>
              <w:rPr>
                <w:rFonts w:ascii="仿宋_GB2312" w:hAnsi="仿宋_GB2312" w:cs="仿宋_GB2312" w:eastAsia="仿宋_GB2312"/>
              </w:rPr>
              <w:t>项目设计方案</w:t>
            </w:r>
          </w:p>
        </w:tc>
        <w:tc>
          <w:tcPr>
            <w:tcW w:type="dxa" w:w="2492"/>
          </w:tcPr>
          <w:p>
            <w:pPr>
              <w:pStyle w:val="null3"/>
            </w:pPr>
            <w:r>
              <w:rPr>
                <w:rFonts w:ascii="仿宋_GB2312" w:hAnsi="仿宋_GB2312" w:cs="仿宋_GB2312" w:eastAsia="仿宋_GB2312"/>
              </w:rPr>
              <w:t>供应商根据本项目采购需求提供项目设计方案，包括：①视觉设计调研；②品牌定位；③竞品分析；④LOGO使用规范；⑤ip形象设计；⑥创意。以上六项内容齐全无缺陷的得24分，每有一项有缺失的扣4分，每有一处缺陷扣2分，扣完为止。 注：“缺陷”是指：或数据错误，或名称错误，或专业术语及符号错误，或文字表述错误，或存在与采购情况无关的内容，或存在明显抄袭、照搬其他地区及项目的内容，或涉及的规范及标准错误的情形。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5.项目设计方案.docx</w:t>
            </w:r>
          </w:p>
        </w:tc>
      </w:tr>
      <w:tr>
        <w:tc>
          <w:tcPr>
            <w:tcW w:type="dxa" w:w="831"/>
            <w:vMerge/>
          </w:tcPr>
          <w:p/>
        </w:tc>
        <w:tc>
          <w:tcPr>
            <w:tcW w:type="dxa" w:w="1661"/>
          </w:tcPr>
          <w:p>
            <w:pPr>
              <w:pStyle w:val="null3"/>
            </w:pPr>
            <w:r>
              <w:rPr>
                <w:rFonts w:ascii="仿宋_GB2312" w:hAnsi="仿宋_GB2312" w:cs="仿宋_GB2312" w:eastAsia="仿宋_GB2312"/>
              </w:rPr>
              <w:t>设计方案应用范围</w:t>
            </w:r>
          </w:p>
        </w:tc>
        <w:tc>
          <w:tcPr>
            <w:tcW w:type="dxa" w:w="2492"/>
          </w:tcPr>
          <w:p>
            <w:pPr>
              <w:pStyle w:val="null3"/>
            </w:pPr>
            <w:r>
              <w:rPr>
                <w:rFonts w:ascii="仿宋_GB2312" w:hAnsi="仿宋_GB2312" w:cs="仿宋_GB2312" w:eastAsia="仿宋_GB2312"/>
              </w:rPr>
              <w:t>根据设计方案应用范围进行综合评审： 1.设计方案应用场景丰富，应用在多种场合、材质和载体上的适配度高，得 10 分； 2.设计方案应用场景较丰富，应用在多种场合、材质和载体上的适配度较高得 7 分； 3.设计方案应用场景丰富度一般，应用在多种场合、材质和载体上的适配度一般，得 4 分； 4.设计方案应用场景不丰富、应用在多种场合、材质和载体上的适配度不高，得 1 分。 5.未提供相关方案不得分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6.设计方案应用范围.docx</w:t>
            </w:r>
          </w:p>
        </w:tc>
      </w:tr>
      <w:tr>
        <w:tc>
          <w:tcPr>
            <w:tcW w:type="dxa" w:w="831"/>
            <w:vMerge/>
          </w:tcPr>
          <w:p/>
        </w:tc>
        <w:tc>
          <w:tcPr>
            <w:tcW w:type="dxa" w:w="1661"/>
          </w:tcPr>
          <w:p>
            <w:pPr>
              <w:pStyle w:val="null3"/>
            </w:pPr>
            <w:r>
              <w:rPr>
                <w:rFonts w:ascii="仿宋_GB2312" w:hAnsi="仿宋_GB2312" w:cs="仿宋_GB2312" w:eastAsia="仿宋_GB2312"/>
              </w:rPr>
              <w:t>成果交付方案</w:t>
            </w:r>
          </w:p>
        </w:tc>
        <w:tc>
          <w:tcPr>
            <w:tcW w:type="dxa" w:w="2492"/>
          </w:tcPr>
          <w:p>
            <w:pPr>
              <w:pStyle w:val="null3"/>
            </w:pPr>
            <w:r>
              <w:rPr>
                <w:rFonts w:ascii="仿宋_GB2312" w:hAnsi="仿宋_GB2312" w:cs="仿宋_GB2312" w:eastAsia="仿宋_GB2312"/>
              </w:rPr>
              <w:t>根据成果交付方案进行综合评审： 1.成果交付文件齐全，包含不限于矢量图及源文件，包含文本文件及电子数据文件，其中文本文件格式统一规范。得6分。 2.成果交付文件基本齐全，包含矢量图及源文件，包含文本文件及电子数据文件，文本文件格式基本规范。得4分。 3.成果交付文件基本齐全，包含限于矢量图及源文件，其中文本文件及电子数据文件有缺失。得2分。 4.未提供相关方案不得分。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7.成果交付方案.docx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 具备较强的组织协调和统筹能力，具备丰富的类似项目的组织经验的，每提供1份，得1分，最高得2分。 评审依据：拟派项目负责人以往担任过类似项目负责人的相关证明材料（以合同复印件为准） 2、团队综合情况 ①拟派本项目人员数量完全满足项目服务要求，且人员具有艺术、设计、视觉、视频、编辑人员等类似项目经验齐全面（需提供相关证明材料）；完全满足项目需求，岗位职责明晰有针对性得8分； ②拟派本项目人员数量基本满足项目服务要求，有部分人员有一定类似项目经验，（需提供相关证明材料）；基本满足项目需求，岗位职责不明确或无针对性得5分； ③拟派本项目人员数量基本满足项目服务要求，有部分人员有一定类似项目经验，岗位职责不明确或无针对性得2分； 评审依据：团队人员名单、学历证书、相关资格证书或其他证明材料等，并加盖供应商公章。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8.人员配备.docx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根据本项目实际需求及特点，制定进度保障方案，方案包括：①各阶段工作流程；②进度计划目标；③进度控制措施。方案必须全面，对评审内容中的各项要求有详细描述，切合本项目实际情况，提出步骤清晰、合理的方案，方案能够紧扣项目实际情况，内容科学合理。完全符合本项目需求每项计3分，本实施方案最高计9分，以上方案中每缺少一项内容扣3分；每有一处内容与实际需求不符或不满足要求或与本项目需求不切合或直接套用其他项目内容的扣0.1-2.5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9.进度保障方案.docx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要求能够充分保证达到项目实施目的，有详细的服务承诺，且承诺内容具有可行性，满足采购人实际需求，定期向采购人进行工作的进展和工作阶段成果的例行汇报等。承诺全面可行得3分；承诺较好、可操作性较强得2分；承诺一般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10.服务承诺.docx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可能发生突发情况的应急预案，对可能发生的突发情况①具备详细的紧急处置方案②完善的防护措施，处置方案及防护措施全部内容均能对项目开展提供保障作用。完全符合本项目需求每项计3分，本实施方案最高计6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11.应急预案.docx</w:t>
            </w:r>
          </w:p>
        </w:tc>
      </w:tr>
      <w:tr>
        <w:tc>
          <w:tcPr>
            <w:tcW w:type="dxa" w:w="831"/>
            <w:vMerge/>
          </w:tcPr>
          <w:p/>
        </w:tc>
        <w:tc>
          <w:tcPr>
            <w:tcW w:type="dxa" w:w="1661"/>
          </w:tcPr>
          <w:p>
            <w:pPr>
              <w:pStyle w:val="null3"/>
            </w:pPr>
            <w:r>
              <w:rPr>
                <w:rFonts w:ascii="仿宋_GB2312" w:hAnsi="仿宋_GB2312" w:cs="仿宋_GB2312" w:eastAsia="仿宋_GB2312"/>
              </w:rPr>
              <w:t>知识产权承诺</w:t>
            </w:r>
          </w:p>
        </w:tc>
        <w:tc>
          <w:tcPr>
            <w:tcW w:type="dxa" w:w="2492"/>
          </w:tcPr>
          <w:p>
            <w:pPr>
              <w:pStyle w:val="null3"/>
            </w:pPr>
            <w:r>
              <w:rPr>
                <w:rFonts w:ascii="仿宋_GB2312" w:hAnsi="仿宋_GB2312" w:cs="仿宋_GB2312" w:eastAsia="仿宋_GB2312"/>
              </w:rPr>
              <w:t>供应商须承诺应保证提供服务过程中不会侵犯任何第三方的知识产权，所有成果的版权属采购人所有，供应商不得以任何形式向第三方提供，否则，按国家法律和有关规定追究中标供应商的一切责任。如有任何侵权行为均由供应商承担相应责任和赔偿。 响应文件中提供以上内容的承诺书得3分，未提供不得分。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12.知识产权承诺.docx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 类似项目业绩合同或开展类似项目主要佐证材料，每提供一个计2分，最高计10分。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详见附件：4.项目需求理解及分析.docx</w:t>
      </w:r>
    </w:p>
    <w:p>
      <w:pPr>
        <w:pStyle w:val="null3"/>
        <w:ind w:firstLine="960"/>
      </w:pPr>
      <w:r>
        <w:rPr>
          <w:rFonts w:ascii="仿宋_GB2312" w:hAnsi="仿宋_GB2312" w:cs="仿宋_GB2312" w:eastAsia="仿宋_GB2312"/>
        </w:rPr>
        <w:t>详见附件：5.项目设计方案.docx</w:t>
      </w:r>
    </w:p>
    <w:p>
      <w:pPr>
        <w:pStyle w:val="null3"/>
        <w:ind w:firstLine="960"/>
      </w:pPr>
      <w:r>
        <w:rPr>
          <w:rFonts w:ascii="仿宋_GB2312" w:hAnsi="仿宋_GB2312" w:cs="仿宋_GB2312" w:eastAsia="仿宋_GB2312"/>
        </w:rPr>
        <w:t>详见附件：6.设计方案应用范围.docx</w:t>
      </w:r>
    </w:p>
    <w:p>
      <w:pPr>
        <w:pStyle w:val="null3"/>
        <w:ind w:firstLine="960"/>
      </w:pPr>
      <w:r>
        <w:rPr>
          <w:rFonts w:ascii="仿宋_GB2312" w:hAnsi="仿宋_GB2312" w:cs="仿宋_GB2312" w:eastAsia="仿宋_GB2312"/>
        </w:rPr>
        <w:t>详见附件：7.成果交付方案.docx</w:t>
      </w:r>
    </w:p>
    <w:p>
      <w:pPr>
        <w:pStyle w:val="null3"/>
        <w:ind w:firstLine="960"/>
      </w:pPr>
      <w:r>
        <w:rPr>
          <w:rFonts w:ascii="仿宋_GB2312" w:hAnsi="仿宋_GB2312" w:cs="仿宋_GB2312" w:eastAsia="仿宋_GB2312"/>
        </w:rPr>
        <w:t>详见附件：8.人员配备.docx</w:t>
      </w:r>
    </w:p>
    <w:p>
      <w:pPr>
        <w:pStyle w:val="null3"/>
        <w:ind w:firstLine="960"/>
      </w:pPr>
      <w:r>
        <w:rPr>
          <w:rFonts w:ascii="仿宋_GB2312" w:hAnsi="仿宋_GB2312" w:cs="仿宋_GB2312" w:eastAsia="仿宋_GB2312"/>
        </w:rPr>
        <w:t>详见附件：9.进度保障方案.docx</w:t>
      </w:r>
    </w:p>
    <w:p>
      <w:pPr>
        <w:pStyle w:val="null3"/>
        <w:ind w:firstLine="960"/>
      </w:pPr>
      <w:r>
        <w:rPr>
          <w:rFonts w:ascii="仿宋_GB2312" w:hAnsi="仿宋_GB2312" w:cs="仿宋_GB2312" w:eastAsia="仿宋_GB2312"/>
        </w:rPr>
        <w:t>详见附件：10.服务承诺.docx</w:t>
      </w:r>
    </w:p>
    <w:p>
      <w:pPr>
        <w:pStyle w:val="null3"/>
        <w:ind w:firstLine="960"/>
      </w:pPr>
      <w:r>
        <w:rPr>
          <w:rFonts w:ascii="仿宋_GB2312" w:hAnsi="仿宋_GB2312" w:cs="仿宋_GB2312" w:eastAsia="仿宋_GB2312"/>
        </w:rPr>
        <w:t>详见附件：11.应急预案.docx</w:t>
      </w:r>
    </w:p>
    <w:p>
      <w:pPr>
        <w:pStyle w:val="null3"/>
        <w:ind w:firstLine="960"/>
      </w:pPr>
      <w:r>
        <w:rPr>
          <w:rFonts w:ascii="仿宋_GB2312" w:hAnsi="仿宋_GB2312" w:cs="仿宋_GB2312" w:eastAsia="仿宋_GB2312"/>
        </w:rPr>
        <w:t>详见附件：12.知识产权承诺.docx</w:t>
      </w:r>
    </w:p>
    <w:p>
      <w:pPr>
        <w:pStyle w:val="null3"/>
        <w:ind w:firstLine="960"/>
      </w:pPr>
      <w:r>
        <w:rPr>
          <w:rFonts w:ascii="仿宋_GB2312" w:hAnsi="仿宋_GB2312" w:cs="仿宋_GB2312" w:eastAsia="仿宋_GB2312"/>
        </w:rPr>
        <w:t>详见附件：13.供应商业绩一览表.docx</w:t>
      </w:r>
    </w:p>
    <w:p>
      <w:pPr>
        <w:pStyle w:val="null3"/>
        <w:ind w:firstLine="960"/>
      </w:pPr>
      <w:r>
        <w:rPr>
          <w:rFonts w:ascii="仿宋_GB2312" w:hAnsi="仿宋_GB2312" w:cs="仿宋_GB2312" w:eastAsia="仿宋_GB2312"/>
        </w:rPr>
        <w:t>详见附件：14.供应商承诺书.docx</w:t>
      </w:r>
    </w:p>
    <w:p>
      <w:pPr>
        <w:pStyle w:val="null3"/>
        <w:ind w:firstLine="960"/>
      </w:pPr>
      <w:r>
        <w:rPr>
          <w:rFonts w:ascii="仿宋_GB2312" w:hAnsi="仿宋_GB2312" w:cs="仿宋_GB2312" w:eastAsia="仿宋_GB2312"/>
        </w:rPr>
        <w:t>详见附件：15.供应商认为其他有必要说明的其他问题.docx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