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版本号：0617—2521GZ331720251201001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门诊综合楼、住院综合楼楼体外墙翻新工程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0617—2521GZ3317</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门诊综合楼、住院综合楼楼体外墙翻新工程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0617—2521GZ3317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门诊综合楼、住院综合楼楼体外墙翻新工程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门诊综合楼、住院综合楼楼体外墙翻新工程，1项，详见图纸和工程量清单。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采购包1（门诊综合楼、住院综合楼楼体外墙翻新工程）：属于专门面向中小企业采购。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 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2、具有良好的商业信誉和健全的财务会计制度：具有良好的商业信誉和健全的财务会计制度： 提供经审计的2023年或2024年度财务报告（包括四表一注，即资产负债表、利润表、现金流量表、所有者权益变动表及其附注，财务报告中附二维码）；事业法人提供部门决算报告；/或在开标日期前六个月内其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3、具有履行合同所必需的设备和专业技术能力：具有履行合同所必需的设备和专业技术能力提供声明文件。</w:t>
      </w:r>
    </w:p>
    <w:p>
      <w:pPr>
        <w:pStyle w:val="null3"/>
      </w:pPr>
      <w:r>
        <w:rPr>
          <w:rFonts w:ascii="仿宋_GB2312" w:hAnsi="仿宋_GB2312" w:cs="仿宋_GB2312" w:eastAsia="仿宋_GB2312"/>
        </w:rPr>
        <w:t>4、具有依法缴纳税收的良好记录：具有依法缴纳税收的良好记录：提供缴费所属日期为投标截止时间前12个月内任意三个月份（投标截止时间当月不计入）的增值税（或所得税）缴费凭据或税务机关出具的完税证明/在法规范围内不需提供的应出具书面说明和证明文件；以上二种形式的资料提供任何一种即可。</w:t>
      </w:r>
    </w:p>
    <w:p>
      <w:pPr>
        <w:pStyle w:val="null3"/>
      </w:pPr>
      <w:r>
        <w:rPr>
          <w:rFonts w:ascii="仿宋_GB2312" w:hAnsi="仿宋_GB2312" w:cs="仿宋_GB2312" w:eastAsia="仿宋_GB2312"/>
        </w:rPr>
        <w:t>5、具有依法缴纳社会保障资金的良好记录：具有依法缴纳社会保障资金的良好记录：提供缴费所属日期为投标截止时间前12个月内任意三个月份（投标截止时间当月不计入）的缴费凭据或社保机关出具的缴费证明/在法规范围内不需提供的应出具书面说明和证明文件；以上二种形式的资料提供任何一种即可。</w:t>
      </w:r>
    </w:p>
    <w:p>
      <w:pPr>
        <w:pStyle w:val="null3"/>
      </w:pPr>
      <w:r>
        <w:rPr>
          <w:rFonts w:ascii="仿宋_GB2312" w:hAnsi="仿宋_GB2312" w:cs="仿宋_GB2312" w:eastAsia="仿宋_GB2312"/>
        </w:rPr>
        <w:t>6、参加政府采购活动前3年内在经营活动中没有重大违法记录：参加政府采购活动前3年内在经营活动中没有重大违法记录的书面声明。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7、法定代表人授权书：法定代表人授权书（至少提供投标文件递交截止之日前连续三个月的在本单位缴纳社保证明材料，不含开标当月）。</w:t>
      </w:r>
    </w:p>
    <w:p>
      <w:pPr>
        <w:pStyle w:val="null3"/>
      </w:pPr>
      <w:r>
        <w:rPr>
          <w:rFonts w:ascii="仿宋_GB2312" w:hAnsi="仿宋_GB2312" w:cs="仿宋_GB2312" w:eastAsia="仿宋_GB2312"/>
        </w:rPr>
        <w:t>8、供应商施工资质要求：供应商须持有建筑工程施工总承包三级及以上资质证书，及有效的安全生产许可证</w:t>
      </w:r>
    </w:p>
    <w:p>
      <w:pPr>
        <w:pStyle w:val="null3"/>
      </w:pPr>
      <w:r>
        <w:rPr>
          <w:rFonts w:ascii="仿宋_GB2312" w:hAnsi="仿宋_GB2312" w:cs="仿宋_GB2312" w:eastAsia="仿宋_GB2312"/>
        </w:rPr>
        <w:t>9、拟派项目负责人资质：拟派项目经理须具备建筑工程专业二级或以上注册建造师执业资格，及有效的安全生产考核合格证书，且未担任其他在建工程项目的项目经理，提供承诺书；（提交投标截止时间前12个月内任意三个月份在本单位缴纳社保证明材料）</w:t>
      </w:r>
    </w:p>
    <w:p>
      <w:pPr>
        <w:pStyle w:val="null3"/>
      </w:pPr>
      <w:r>
        <w:rPr>
          <w:rFonts w:ascii="仿宋_GB2312" w:hAnsi="仿宋_GB2312" w:cs="仿宋_GB2312" w:eastAsia="仿宋_GB2312"/>
        </w:rPr>
        <w:t>10、建筑企业信息查询：建筑企业信息查询，供应商及项目经理信息在“陕西省建筑市场监管与诚信信息发布平台”可查询。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采购包1：1,999,346.40元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景观照明灯</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外墙真石漆喷涂</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下浮20%的收费标准进行收费。 开户名称：西北（陕西）国际招标有限公司 开户银行： 交通银行西安长安大学支行 账 号：611301151018010003843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踏勘时间：2025-12-10 10:00:00</w:t>
            </w:r>
          </w:p>
          <w:p>
            <w:pPr>
              <w:pStyle w:val="null3"/>
              <w:ind w:firstLine="975"/>
            </w:pPr>
            <w:r>
              <w:rPr>
                <w:rFonts w:ascii="仿宋_GB2312" w:hAnsi="仿宋_GB2312" w:cs="仿宋_GB2312" w:eastAsia="仿宋_GB2312"/>
              </w:rPr>
              <w:t>踏勘地点：西安市第五医院</w:t>
            </w:r>
          </w:p>
          <w:p>
            <w:pPr>
              <w:pStyle w:val="null3"/>
              <w:ind w:firstLine="975"/>
            </w:pPr>
            <w:r>
              <w:rPr>
                <w:rFonts w:ascii="仿宋_GB2312" w:hAnsi="仿宋_GB2312" w:cs="仿宋_GB2312" w:eastAsia="仿宋_GB2312"/>
              </w:rPr>
              <w:t>联系人：赵老师</w:t>
            </w:r>
          </w:p>
          <w:p>
            <w:pPr>
              <w:pStyle w:val="null3"/>
              <w:ind w:firstLine="975"/>
            </w:pPr>
            <w:r>
              <w:rPr>
                <w:rFonts w:ascii="仿宋_GB2312" w:hAnsi="仿宋_GB2312" w:cs="仿宋_GB2312" w:eastAsia="仿宋_GB2312"/>
              </w:rPr>
              <w:t>联系电话号码：029-88621331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1,999,346.40</w:t>
      </w:r>
    </w:p>
    <w:p>
      <w:pPr>
        <w:pStyle w:val="null3"/>
      </w:pPr>
      <w:r>
        <w:rPr>
          <w:rFonts w:ascii="仿宋_GB2312" w:hAnsi="仿宋_GB2312" w:cs="仿宋_GB2312" w:eastAsia="仿宋_GB2312"/>
        </w:rPr>
        <w:t>采购包最高限价（元）: 1,999,346.40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门诊综合楼、住院综合楼楼体外墙翻新工程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1,999,346.40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标的名称：门诊综合楼、住院综合楼楼体外墙翻新工程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一、项目概况</w:t>
            </w:r>
          </w:p>
          <w:p>
            <w:pPr>
              <w:pStyle w:val="null3"/>
              <w:ind w:firstLine="400"/>
            </w:pPr>
            <w:r>
              <w:rPr>
                <w:rFonts w:ascii="仿宋_GB2312" w:hAnsi="仿宋_GB2312" w:cs="仿宋_GB2312" w:eastAsia="仿宋_GB2312"/>
                <w:sz w:val="24"/>
              </w:rPr>
              <w:t>西安市第五医院门诊综合楼、住院综合楼楼体外墙翻新工程</w:t>
            </w:r>
            <w:r>
              <w:rPr>
                <w:rFonts w:ascii="仿宋_GB2312" w:hAnsi="仿宋_GB2312" w:cs="仿宋_GB2312" w:eastAsia="仿宋_GB2312"/>
                <w:sz w:val="24"/>
              </w:rPr>
              <w:t>，</w:t>
            </w:r>
            <w:r>
              <w:rPr>
                <w:rFonts w:ascii="仿宋_GB2312" w:hAnsi="仿宋_GB2312" w:cs="仿宋_GB2312" w:eastAsia="仿宋_GB2312"/>
                <w:sz w:val="24"/>
              </w:rPr>
              <w:t>包含对医院门诊综合楼、住院综合楼楼体外墙翻新及部分亮化等相关内容</w:t>
            </w:r>
            <w:r>
              <w:rPr>
                <w:rFonts w:ascii="仿宋_GB2312" w:hAnsi="仿宋_GB2312" w:cs="仿宋_GB2312" w:eastAsia="仿宋_GB2312"/>
                <w:sz w:val="24"/>
              </w:rPr>
              <w:t>，按照设计施工图纸完成项目后，</w:t>
            </w:r>
            <w:r>
              <w:rPr>
                <w:rFonts w:ascii="仿宋_GB2312" w:hAnsi="仿宋_GB2312" w:cs="仿宋_GB2312" w:eastAsia="仿宋_GB2312"/>
                <w:sz w:val="24"/>
              </w:rPr>
              <w:t>在</w:t>
            </w:r>
            <w:r>
              <w:rPr>
                <w:rFonts w:ascii="仿宋_GB2312" w:hAnsi="仿宋_GB2312" w:cs="仿宋_GB2312" w:eastAsia="仿宋_GB2312"/>
                <w:sz w:val="24"/>
              </w:rPr>
              <w:t>验收后可直接使用。</w:t>
            </w:r>
          </w:p>
          <w:p>
            <w:pPr>
              <w:pStyle w:val="null3"/>
            </w:pPr>
            <w:r>
              <w:rPr>
                <w:rFonts w:ascii="仿宋_GB2312" w:hAnsi="仿宋_GB2312" w:cs="仿宋_GB2312" w:eastAsia="仿宋_GB2312"/>
                <w:sz w:val="24"/>
              </w:rPr>
              <w:t>二、工程内容和施工地点、计划工期、缺陷责任期、质量保修期</w:t>
            </w:r>
          </w:p>
          <w:p>
            <w:pPr>
              <w:pStyle w:val="null3"/>
              <w:ind w:firstLine="400"/>
            </w:pPr>
            <w:r>
              <w:rPr>
                <w:rFonts w:ascii="仿宋_GB2312" w:hAnsi="仿宋_GB2312" w:cs="仿宋_GB2312" w:eastAsia="仿宋_GB2312"/>
                <w:sz w:val="24"/>
              </w:rPr>
              <w:t>(一)工程内容:按照图纸要求</w:t>
            </w:r>
            <w:r>
              <w:rPr>
                <w:rFonts w:ascii="仿宋_GB2312" w:hAnsi="仿宋_GB2312" w:cs="仿宋_GB2312" w:eastAsia="仿宋_GB2312"/>
                <w:sz w:val="24"/>
              </w:rPr>
              <w:t>完成</w:t>
            </w:r>
            <w:r>
              <w:rPr>
                <w:rFonts w:ascii="仿宋_GB2312" w:hAnsi="仿宋_GB2312" w:cs="仿宋_GB2312" w:eastAsia="仿宋_GB2312"/>
                <w:sz w:val="24"/>
              </w:rPr>
              <w:t>西安市第五医院</w:t>
            </w:r>
            <w:r>
              <w:rPr>
                <w:rFonts w:ascii="仿宋_GB2312" w:hAnsi="仿宋_GB2312" w:cs="仿宋_GB2312" w:eastAsia="仿宋_GB2312"/>
                <w:sz w:val="24"/>
              </w:rPr>
              <w:t>门诊综合楼、住院综合楼楼体外墙翻新</w:t>
            </w:r>
            <w:r>
              <w:rPr>
                <w:rFonts w:ascii="仿宋_GB2312" w:hAnsi="仿宋_GB2312" w:cs="仿宋_GB2312" w:eastAsia="仿宋_GB2312"/>
                <w:sz w:val="24"/>
              </w:rPr>
              <w:t>工程，乙方签订合同前应出具项目效果图，甲方</w:t>
            </w:r>
            <w:r>
              <w:rPr>
                <w:rFonts w:ascii="仿宋_GB2312" w:hAnsi="仿宋_GB2312" w:cs="仿宋_GB2312" w:eastAsia="仿宋_GB2312"/>
                <w:sz w:val="24"/>
              </w:rPr>
              <w:t>及监理方</w:t>
            </w:r>
            <w:r>
              <w:rPr>
                <w:rFonts w:ascii="仿宋_GB2312" w:hAnsi="仿宋_GB2312" w:cs="仿宋_GB2312" w:eastAsia="仿宋_GB2312"/>
                <w:sz w:val="24"/>
              </w:rPr>
              <w:t>签字认可方可施工。包含</w:t>
            </w:r>
            <w:r>
              <w:rPr>
                <w:rFonts w:ascii="仿宋_GB2312" w:hAnsi="仿宋_GB2312" w:cs="仿宋_GB2312" w:eastAsia="仿宋_GB2312"/>
                <w:sz w:val="24"/>
              </w:rPr>
              <w:t>:</w:t>
            </w:r>
            <w:r>
              <w:rPr>
                <w:rFonts w:ascii="仿宋_GB2312" w:hAnsi="仿宋_GB2312" w:cs="仿宋_GB2312" w:eastAsia="仿宋_GB2312"/>
                <w:sz w:val="24"/>
              </w:rPr>
              <w:t>门诊综合楼、</w:t>
            </w:r>
            <w:r>
              <w:rPr>
                <w:rFonts w:ascii="仿宋_GB2312" w:hAnsi="仿宋_GB2312" w:cs="仿宋_GB2312" w:eastAsia="仿宋_GB2312"/>
                <w:sz w:val="24"/>
              </w:rPr>
              <w:t>住院综合楼外</w:t>
            </w:r>
            <w:r>
              <w:rPr>
                <w:rFonts w:ascii="仿宋_GB2312" w:hAnsi="仿宋_GB2312" w:cs="仿宋_GB2312" w:eastAsia="仿宋_GB2312"/>
                <w:sz w:val="24"/>
              </w:rPr>
              <w:t>墙</w:t>
            </w:r>
            <w:r>
              <w:rPr>
                <w:rFonts w:ascii="仿宋_GB2312" w:hAnsi="仿宋_GB2312" w:cs="仿宋_GB2312" w:eastAsia="仿宋_GB2312"/>
                <w:sz w:val="24"/>
              </w:rPr>
              <w:t>装饰层翻新</w:t>
            </w:r>
            <w:r>
              <w:rPr>
                <w:rFonts w:ascii="仿宋_GB2312" w:hAnsi="仿宋_GB2312" w:cs="仿宋_GB2312" w:eastAsia="仿宋_GB2312"/>
                <w:sz w:val="24"/>
              </w:rPr>
              <w:t>(原外墙有外保温、饰面层为涂料墙面,本漆外墙)以及外立面檐口部位亮化工程</w:t>
            </w:r>
            <w:r>
              <w:rPr>
                <w:rFonts w:ascii="仿宋_GB2312" w:hAnsi="仿宋_GB2312" w:cs="仿宋_GB2312" w:eastAsia="仿宋_GB2312"/>
                <w:sz w:val="24"/>
              </w:rPr>
              <w:t>。</w:t>
            </w:r>
          </w:p>
          <w:p>
            <w:pPr>
              <w:pStyle w:val="null3"/>
              <w:ind w:firstLine="400"/>
            </w:pPr>
            <w:r>
              <w:rPr>
                <w:rFonts w:ascii="仿宋_GB2312" w:hAnsi="仿宋_GB2312" w:cs="仿宋_GB2312" w:eastAsia="仿宋_GB2312"/>
                <w:sz w:val="24"/>
              </w:rPr>
              <w:t>（二）工程要求：</w:t>
            </w:r>
            <w:r>
              <w:rPr>
                <w:rFonts w:ascii="仿宋_GB2312" w:hAnsi="仿宋_GB2312" w:cs="仿宋_GB2312" w:eastAsia="仿宋_GB2312"/>
                <w:sz w:val="24"/>
              </w:rPr>
              <w:t>专业工程</w:t>
            </w:r>
            <w:r>
              <w:rPr>
                <w:rFonts w:ascii="仿宋_GB2312" w:hAnsi="仿宋_GB2312" w:cs="仿宋_GB2312" w:eastAsia="仿宋_GB2312"/>
                <w:sz w:val="24"/>
              </w:rPr>
              <w:t>及设备规格尺寸应严格按照施工图纸进行。</w:t>
            </w:r>
          </w:p>
          <w:p>
            <w:pPr>
              <w:pStyle w:val="null3"/>
              <w:ind w:firstLine="400"/>
            </w:pPr>
            <w:r>
              <w:rPr>
                <w:rFonts w:ascii="仿宋_GB2312" w:hAnsi="仿宋_GB2312" w:cs="仿宋_GB2312" w:eastAsia="仿宋_GB2312"/>
                <w:sz w:val="24"/>
              </w:rPr>
              <w:t>（三）</w:t>
            </w:r>
            <w:r>
              <w:rPr>
                <w:rFonts w:ascii="仿宋_GB2312" w:hAnsi="仿宋_GB2312" w:cs="仿宋_GB2312" w:eastAsia="仿宋_GB2312"/>
                <w:sz w:val="24"/>
              </w:rPr>
              <w:t>施工</w:t>
            </w:r>
            <w:r>
              <w:rPr>
                <w:rFonts w:ascii="仿宋_GB2312" w:hAnsi="仿宋_GB2312" w:cs="仿宋_GB2312" w:eastAsia="仿宋_GB2312"/>
                <w:sz w:val="24"/>
              </w:rPr>
              <w:t>地点</w:t>
            </w:r>
            <w:r>
              <w:rPr>
                <w:rFonts w:ascii="仿宋_GB2312" w:hAnsi="仿宋_GB2312" w:cs="仿宋_GB2312" w:eastAsia="仿宋_GB2312"/>
                <w:sz w:val="24"/>
              </w:rPr>
              <w:t>：西安市西关正街西安市第五医院院内。</w:t>
            </w:r>
          </w:p>
          <w:p>
            <w:pPr>
              <w:pStyle w:val="null3"/>
              <w:ind w:firstLine="400"/>
            </w:pPr>
            <w:r>
              <w:rPr>
                <w:rFonts w:ascii="仿宋_GB2312" w:hAnsi="仿宋_GB2312" w:cs="仿宋_GB2312" w:eastAsia="仿宋_GB2312"/>
                <w:sz w:val="24"/>
              </w:rPr>
              <w:t>（四）工期：</w:t>
            </w:r>
            <w:r>
              <w:rPr>
                <w:rFonts w:ascii="仿宋_GB2312" w:hAnsi="仿宋_GB2312" w:cs="仿宋_GB2312" w:eastAsia="仿宋_GB2312"/>
                <w:sz w:val="24"/>
              </w:rPr>
              <w:t>90</w:t>
            </w:r>
            <w:r>
              <w:rPr>
                <w:rFonts w:ascii="仿宋_GB2312" w:hAnsi="仿宋_GB2312" w:cs="仿宋_GB2312" w:eastAsia="仿宋_GB2312"/>
                <w:sz w:val="24"/>
              </w:rPr>
              <w:t>个日历</w:t>
            </w:r>
            <w:r>
              <w:rPr>
                <w:rFonts w:ascii="仿宋_GB2312" w:hAnsi="仿宋_GB2312" w:cs="仿宋_GB2312" w:eastAsia="仿宋_GB2312"/>
                <w:sz w:val="24"/>
              </w:rPr>
              <w:t>天</w:t>
            </w:r>
            <w:r>
              <w:rPr>
                <w:rFonts w:ascii="仿宋_GB2312" w:hAnsi="仿宋_GB2312" w:cs="仿宋_GB2312" w:eastAsia="仿宋_GB2312"/>
                <w:sz w:val="24"/>
              </w:rPr>
              <w:t>。</w:t>
            </w:r>
          </w:p>
          <w:p>
            <w:pPr>
              <w:pStyle w:val="null3"/>
              <w:ind w:firstLine="400"/>
            </w:pPr>
            <w:r>
              <w:rPr>
                <w:rFonts w:ascii="仿宋_GB2312" w:hAnsi="仿宋_GB2312" w:cs="仿宋_GB2312" w:eastAsia="仿宋_GB2312"/>
                <w:sz w:val="24"/>
              </w:rPr>
              <w:t>开工日期：以甲方的开工报告时间为准，工期不变，完成全部项目施工并交付甲方使用，每推迟</w:t>
            </w:r>
            <w:r>
              <w:rPr>
                <w:rFonts w:ascii="仿宋_GB2312" w:hAnsi="仿宋_GB2312" w:cs="仿宋_GB2312" w:eastAsia="仿宋_GB2312"/>
                <w:sz w:val="24"/>
              </w:rPr>
              <w:t>1天扣合同总价的3‰，累计超过30天的，视为乙方违约，甲方有权单方解除合同（合同自书面解除通知送达乙方之日起解除），乙方应赔偿解除合同给甲方造成的全部损失（包括但不限于重新采购产生的费用、合同未履行导致工程不能按规划交付使用可能产生的租赁费用），还应按合同总价款的30%支付违约金。</w:t>
            </w:r>
          </w:p>
          <w:p>
            <w:pPr>
              <w:pStyle w:val="null3"/>
              <w:ind w:firstLine="400"/>
            </w:pPr>
            <w:r>
              <w:rPr>
                <w:rFonts w:ascii="仿宋_GB2312" w:hAnsi="仿宋_GB2312" w:cs="仿宋_GB2312" w:eastAsia="仿宋_GB2312"/>
                <w:sz w:val="24"/>
              </w:rPr>
              <w:t>（五）缺陷责任期：工程缺陷责任期为</w:t>
            </w:r>
            <w:r>
              <w:rPr>
                <w:rFonts w:ascii="仿宋_GB2312" w:hAnsi="仿宋_GB2312" w:cs="仿宋_GB2312" w:eastAsia="仿宋_GB2312"/>
                <w:sz w:val="24"/>
              </w:rPr>
              <w:t>两年</w:t>
            </w:r>
            <w:r>
              <w:rPr>
                <w:rFonts w:ascii="仿宋_GB2312" w:hAnsi="仿宋_GB2312" w:cs="仿宋_GB2312" w:eastAsia="仿宋_GB2312"/>
                <w:sz w:val="24"/>
              </w:rPr>
              <w:t>，缺陷责任期自工程通过竣工验收之日起计算。由于承包方原因导致工程无法按规定期限进行竣（交）工验收的，缺陷责任期从实际通过竣（交）工验收之日起计。</w:t>
            </w:r>
          </w:p>
          <w:p>
            <w:pPr>
              <w:pStyle w:val="null3"/>
              <w:ind w:firstLine="400"/>
            </w:pPr>
            <w:r>
              <w:rPr>
                <w:rFonts w:ascii="仿宋_GB2312" w:hAnsi="仿宋_GB2312" w:cs="仿宋_GB2312" w:eastAsia="仿宋_GB2312"/>
                <w:sz w:val="24"/>
              </w:rPr>
              <w:t>（六）质量保修期：按《建设工程质量管理条例》》第三十二条规定：乙方对施工中出现质量问题的建设工程或者竣工验收不合格的建设工程，应当负责返修且工期不顺延，由此产生的费用及造成的损失，乙方自行承担。</w:t>
            </w:r>
          </w:p>
          <w:p>
            <w:pPr>
              <w:pStyle w:val="null3"/>
              <w:ind w:firstLine="400"/>
            </w:pPr>
            <w:r>
              <w:rPr>
                <w:rFonts w:ascii="仿宋_GB2312" w:hAnsi="仿宋_GB2312" w:cs="仿宋_GB2312" w:eastAsia="仿宋_GB2312"/>
                <w:sz w:val="24"/>
              </w:rPr>
              <w:t>自验收合格起之日</w:t>
            </w:r>
            <w:r>
              <w:rPr>
                <w:rFonts w:ascii="仿宋_GB2312" w:hAnsi="仿宋_GB2312" w:cs="仿宋_GB2312" w:eastAsia="仿宋_GB2312"/>
                <w:sz w:val="24"/>
              </w:rPr>
              <w:t>两</w:t>
            </w:r>
            <w:r>
              <w:rPr>
                <w:rFonts w:ascii="仿宋_GB2312" w:hAnsi="仿宋_GB2312" w:cs="仿宋_GB2312" w:eastAsia="仿宋_GB2312"/>
                <w:sz w:val="24"/>
              </w:rPr>
              <w:t>年，根据成交单位响应文件，合同未约定质保事项以《房屋建筑工程质量保修办法》为准。</w:t>
            </w:r>
          </w:p>
          <w:p>
            <w:pPr>
              <w:pStyle w:val="null3"/>
              <w:ind w:firstLine="400"/>
            </w:pPr>
            <w:r>
              <w:rPr>
                <w:rFonts w:ascii="仿宋_GB2312" w:hAnsi="仿宋_GB2312" w:cs="仿宋_GB2312" w:eastAsia="仿宋_GB2312"/>
                <w:sz w:val="24"/>
              </w:rPr>
              <w:t>三、工程量清单和计价依据（可询问设计单位或评审单位）</w:t>
            </w:r>
          </w:p>
          <w:p>
            <w:pPr>
              <w:pStyle w:val="null3"/>
              <w:ind w:firstLine="400"/>
            </w:pPr>
            <w:r>
              <w:rPr>
                <w:rFonts w:ascii="仿宋_GB2312" w:hAnsi="仿宋_GB2312" w:cs="仿宋_GB2312" w:eastAsia="仿宋_GB2312"/>
                <w:sz w:val="24"/>
              </w:rPr>
              <w:t>1、见工程量清单。</w:t>
            </w:r>
          </w:p>
          <w:p>
            <w:pPr>
              <w:pStyle w:val="null3"/>
              <w:ind w:firstLine="400"/>
            </w:pPr>
            <w:r>
              <w:rPr>
                <w:rFonts w:ascii="仿宋_GB2312" w:hAnsi="仿宋_GB2312" w:cs="仿宋_GB2312" w:eastAsia="仿宋_GB2312"/>
                <w:sz w:val="24"/>
              </w:rPr>
              <w:t>2、</w:t>
            </w:r>
            <w:r>
              <w:rPr>
                <w:rFonts w:ascii="仿宋_GB2312" w:hAnsi="仿宋_GB2312" w:cs="仿宋_GB2312" w:eastAsia="仿宋_GB2312"/>
                <w:sz w:val="24"/>
              </w:rPr>
              <w:t>计价依据</w:t>
            </w:r>
            <w:r>
              <w:rPr>
                <w:rFonts w:ascii="仿宋_GB2312" w:hAnsi="仿宋_GB2312" w:cs="仿宋_GB2312" w:eastAsia="仿宋_GB2312"/>
                <w:sz w:val="24"/>
              </w:rPr>
              <w:t>《陕西省建设工程工程量清单计价标准及计算标准》（</w:t>
            </w:r>
            <w:r>
              <w:rPr>
                <w:rFonts w:ascii="仿宋_GB2312" w:hAnsi="仿宋_GB2312" w:cs="仿宋_GB2312" w:eastAsia="仿宋_GB2312"/>
                <w:sz w:val="24"/>
              </w:rPr>
              <w:t>2025）、《陕西省房屋建筑与装饰及通用安装工程基价表》（2025）、《陕西省房屋建筑与装饰及通用安装工程消耗量定额》（2025）及《陕西省建设工程费用规则》（2025）等相关文件。</w:t>
            </w:r>
          </w:p>
          <w:p>
            <w:pPr>
              <w:pStyle w:val="null3"/>
              <w:ind w:firstLine="400"/>
            </w:pPr>
            <w:r>
              <w:rPr>
                <w:rFonts w:ascii="仿宋_GB2312" w:hAnsi="仿宋_GB2312" w:cs="仿宋_GB2312" w:eastAsia="仿宋_GB2312"/>
                <w:sz w:val="24"/>
              </w:rPr>
              <w:t>四、施工要求（可选）</w:t>
            </w:r>
          </w:p>
          <w:p>
            <w:pPr>
              <w:pStyle w:val="null3"/>
              <w:ind w:firstLine="400"/>
            </w:pPr>
            <w:r>
              <w:rPr>
                <w:rFonts w:ascii="仿宋_GB2312" w:hAnsi="仿宋_GB2312" w:cs="仿宋_GB2312" w:eastAsia="仿宋_GB2312"/>
                <w:sz w:val="24"/>
              </w:rPr>
              <w:t>1、在施工期间，中标供应商必须注意院内外人员安全，加强安全措施，并对施工人员进行安全教育。施工人员必须持证上岗。因甲方工作的特殊性，要求乙方在施工中做到封闭性施工。</w:t>
            </w:r>
          </w:p>
          <w:p>
            <w:pPr>
              <w:pStyle w:val="null3"/>
              <w:ind w:firstLine="400"/>
            </w:pPr>
            <w:r>
              <w:rPr>
                <w:rFonts w:ascii="仿宋_GB2312" w:hAnsi="仿宋_GB2312" w:cs="仿宋_GB2312" w:eastAsia="仿宋_GB2312"/>
                <w:sz w:val="24"/>
              </w:rPr>
              <w:t>2、材料进场后，须经</w:t>
            </w:r>
            <w:r>
              <w:rPr>
                <w:rFonts w:ascii="仿宋_GB2312" w:hAnsi="仿宋_GB2312" w:cs="仿宋_GB2312" w:eastAsia="仿宋_GB2312"/>
                <w:sz w:val="24"/>
              </w:rPr>
              <w:t>建设方</w:t>
            </w:r>
            <w:r>
              <w:rPr>
                <w:rFonts w:ascii="仿宋_GB2312" w:hAnsi="仿宋_GB2312" w:cs="仿宋_GB2312" w:eastAsia="仿宋_GB2312"/>
                <w:sz w:val="24"/>
              </w:rPr>
              <w:t>、监理方验收合格后方可施工。</w:t>
            </w:r>
          </w:p>
          <w:p>
            <w:pPr>
              <w:pStyle w:val="null3"/>
              <w:ind w:firstLine="400"/>
            </w:pPr>
            <w:r>
              <w:rPr>
                <w:rFonts w:ascii="仿宋_GB2312" w:hAnsi="仿宋_GB2312" w:cs="仿宋_GB2312" w:eastAsia="仿宋_GB2312"/>
                <w:sz w:val="24"/>
              </w:rPr>
              <w:t>3、隐蔽工程在隐蔽前须进行分项验收，验收合格后成交供应商留存相关照片及资料。</w:t>
            </w:r>
          </w:p>
          <w:p>
            <w:pPr>
              <w:pStyle w:val="null3"/>
              <w:ind w:firstLine="400"/>
            </w:pPr>
            <w:r>
              <w:rPr>
                <w:rFonts w:ascii="仿宋_GB2312" w:hAnsi="仿宋_GB2312" w:cs="仿宋_GB2312" w:eastAsia="仿宋_GB2312"/>
                <w:sz w:val="24"/>
              </w:rPr>
              <w:t>4.</w:t>
            </w:r>
            <w:r>
              <w:rPr>
                <w:rFonts w:ascii="仿宋_GB2312" w:hAnsi="仿宋_GB2312" w:cs="仿宋_GB2312" w:eastAsia="仿宋_GB2312"/>
                <w:sz w:val="24"/>
              </w:rPr>
              <w:t>材料</w:t>
            </w:r>
            <w:r>
              <w:rPr>
                <w:rFonts w:ascii="仿宋_GB2312" w:hAnsi="仿宋_GB2312" w:cs="仿宋_GB2312" w:eastAsia="仿宋_GB2312"/>
                <w:sz w:val="24"/>
              </w:rPr>
              <w:t>要求：</w:t>
            </w:r>
            <w:r>
              <w:rPr>
                <w:rFonts w:ascii="仿宋_GB2312" w:hAnsi="仿宋_GB2312" w:cs="仿宋_GB2312" w:eastAsia="仿宋_GB2312"/>
                <w:sz w:val="24"/>
              </w:rPr>
              <w:t>供应商须提供市场上一线品牌中等及以上档次材料、设备（附详细分项报价表，表中含名称、规格型号、品牌、数量、产地、单价等），并经甲方、监理方认可方可施工（使用的建材属于《绿色建筑和绿色建材政府采购需求标准》明确为</w:t>
            </w:r>
            <w:r>
              <w:rPr>
                <w:rFonts w:ascii="仿宋_GB2312" w:hAnsi="仿宋_GB2312" w:cs="仿宋_GB2312" w:eastAsia="仿宋_GB2312"/>
                <w:sz w:val="24"/>
              </w:rPr>
              <w:t>“必选类”的，应当全部采购和使用符合相关标准的绿色建材）</w:t>
            </w:r>
          </w:p>
          <w:p>
            <w:pPr>
              <w:pStyle w:val="null3"/>
              <w:spacing w:after="195"/>
              <w:jc w:val="center"/>
            </w:pPr>
            <w:r>
              <w:rPr>
                <w:rFonts w:ascii="仿宋_GB2312" w:hAnsi="仿宋_GB2312" w:cs="仿宋_GB2312" w:eastAsia="仿宋_GB2312"/>
                <w:sz w:val="24"/>
              </w:rPr>
              <w:t>绿色建材清单</w:t>
            </w:r>
          </w:p>
          <w:tbl>
            <w:tblPr>
              <w:tblBorders>
                <w:top w:val="none" w:color="000000" w:sz="4"/>
                <w:left w:val="none" w:color="000000" w:sz="4"/>
                <w:bottom w:val="none" w:color="000000" w:sz="4"/>
                <w:right w:val="none" w:color="000000" w:sz="4"/>
                <w:insideH w:val="none"/>
                <w:insideV w:val="none"/>
              </w:tblBorders>
            </w:tblPr>
            <w:tblGrid>
              <w:gridCol w:w="191"/>
              <w:gridCol w:w="326"/>
              <w:gridCol w:w="283"/>
              <w:gridCol w:w="799"/>
              <w:gridCol w:w="953"/>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序号</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材料类别</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产品名称</w:t>
                  </w:r>
                </w:p>
              </w:tc>
              <w:tc>
                <w:tcPr>
                  <w:tcW w:type="dxa" w:w="17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依据标准</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w:t>
                  </w:r>
                </w:p>
              </w:tc>
              <w:tc>
                <w:tcPr>
                  <w:tcW w:type="dxa" w:w="236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墙面材料</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rPr>
                    <w:t>涂料</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rPr>
                    <w:t>真石漆</w:t>
                  </w:r>
                </w:p>
              </w:tc>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rPr>
                    <w:t>绿色建材评价</w:t>
                  </w:r>
                </w:p>
                <w:p>
                  <w:pPr>
                    <w:pStyle w:val="null3"/>
                    <w:spacing w:after="195"/>
                    <w:jc w:val="left"/>
                  </w:pPr>
                  <w:r>
                    <w:rPr>
                      <w:rFonts w:ascii="仿宋_GB2312" w:hAnsi="仿宋_GB2312" w:cs="仿宋_GB2312" w:eastAsia="仿宋_GB2312"/>
                      <w:sz w:val="24"/>
                    </w:rPr>
                    <w:t>墙面涂料</w:t>
                  </w:r>
                  <w:r>
                    <w:rPr>
                      <w:rFonts w:ascii="仿宋_GB2312" w:hAnsi="仿宋_GB2312" w:cs="仿宋_GB2312" w:eastAsia="仿宋_GB2312"/>
                      <w:sz w:val="24"/>
                    </w:rPr>
                    <w:t xml:space="preserve"> </w:t>
                  </w:r>
                </w:p>
                <w:p>
                  <w:pPr>
                    <w:pStyle w:val="null3"/>
                    <w:spacing w:after="195"/>
                    <w:jc w:val="left"/>
                  </w:pPr>
                  <w:r>
                    <w:rPr>
                      <w:rFonts w:ascii="仿宋_GB2312" w:hAnsi="仿宋_GB2312" w:cs="仿宋_GB2312" w:eastAsia="仿宋_GB2312"/>
                      <w:sz w:val="24"/>
                    </w:rPr>
                    <w:t>T/CECS 10039-2019</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rPr>
                    <w:t>绿色产品评价</w:t>
                  </w:r>
                  <w:r>
                    <w:br/>
                  </w:r>
                  <w:r>
                    <w:rPr>
                      <w:rFonts w:ascii="仿宋_GB2312" w:hAnsi="仿宋_GB2312" w:cs="仿宋_GB2312" w:eastAsia="仿宋_GB2312"/>
                      <w:sz w:val="24"/>
                    </w:rPr>
                    <w:t>涂料</w:t>
                  </w:r>
                  <w:r>
                    <w:rPr>
                      <w:rFonts w:ascii="仿宋_GB2312" w:hAnsi="仿宋_GB2312" w:cs="仿宋_GB2312" w:eastAsia="仿宋_GB2312"/>
                      <w:sz w:val="24"/>
                    </w:rPr>
                    <w:t xml:space="preserve"> </w:t>
                  </w:r>
                </w:p>
                <w:p>
                  <w:pPr>
                    <w:pStyle w:val="null3"/>
                    <w:spacing w:after="195"/>
                    <w:jc w:val="left"/>
                  </w:pPr>
                  <w:r>
                    <w:rPr>
                      <w:rFonts w:ascii="仿宋_GB2312" w:hAnsi="仿宋_GB2312" w:cs="仿宋_GB2312" w:eastAsia="仿宋_GB2312"/>
                      <w:sz w:val="24"/>
                    </w:rPr>
                    <w:t>GB/T 35602-2017</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w:t>
                  </w:r>
                </w:p>
              </w:tc>
              <w:tc>
                <w:tcPr>
                  <w:tcW w:type="dxa" w:w="236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照明</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rPr>
                    <w:t>LED</w:t>
                  </w:r>
                  <w:r>
                    <w:rPr>
                      <w:rFonts w:ascii="仿宋_GB2312" w:hAnsi="仿宋_GB2312" w:cs="仿宋_GB2312" w:eastAsia="仿宋_GB2312"/>
                      <w:sz w:val="24"/>
                    </w:rPr>
                    <w:t>灯具</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rPr>
                    <w:t>LED</w:t>
                  </w:r>
                  <w:r>
                    <w:rPr>
                      <w:rFonts w:ascii="仿宋_GB2312" w:hAnsi="仿宋_GB2312" w:cs="仿宋_GB2312" w:eastAsia="仿宋_GB2312"/>
                      <w:sz w:val="24"/>
                    </w:rPr>
                    <w:t>洗墙灯</w:t>
                  </w:r>
                </w:p>
                <w:p>
                  <w:pPr>
                    <w:pStyle w:val="null3"/>
                    <w:spacing w:after="195"/>
                    <w:jc w:val="left"/>
                  </w:pPr>
                  <w:r>
                    <w:rPr>
                      <w:rFonts w:ascii="仿宋_GB2312" w:hAnsi="仿宋_GB2312" w:cs="仿宋_GB2312" w:eastAsia="仿宋_GB2312"/>
                      <w:sz w:val="24"/>
                    </w:rPr>
                    <w:t>LED</w:t>
                  </w:r>
                  <w:r>
                    <w:rPr>
                      <w:rFonts w:ascii="仿宋_GB2312" w:hAnsi="仿宋_GB2312" w:cs="仿宋_GB2312" w:eastAsia="仿宋_GB2312"/>
                      <w:sz w:val="24"/>
                    </w:rPr>
                    <w:t>投光灯</w:t>
                  </w:r>
                </w:p>
              </w:tc>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rPr>
                    <w:t>绿色建材评价</w:t>
                  </w:r>
                  <w:r>
                    <w:rPr>
                      <w:rFonts w:ascii="仿宋_GB2312" w:hAnsi="仿宋_GB2312" w:cs="仿宋_GB2312" w:eastAsia="仿宋_GB2312"/>
                      <w:sz w:val="24"/>
                    </w:rPr>
                    <w:t xml:space="preserve"> </w:t>
                  </w:r>
                </w:p>
                <w:p>
                  <w:pPr>
                    <w:pStyle w:val="null3"/>
                    <w:spacing w:after="195"/>
                    <w:jc w:val="left"/>
                  </w:pPr>
                  <w:r>
                    <w:rPr>
                      <w:rFonts w:ascii="仿宋_GB2312" w:hAnsi="仿宋_GB2312" w:cs="仿宋_GB2312" w:eastAsia="仿宋_GB2312"/>
                      <w:sz w:val="24"/>
                    </w:rPr>
                    <w:t>LED</w:t>
                  </w:r>
                  <w:r>
                    <w:rPr>
                      <w:rFonts w:ascii="仿宋_GB2312" w:hAnsi="仿宋_GB2312" w:cs="仿宋_GB2312" w:eastAsia="仿宋_GB2312"/>
                      <w:sz w:val="24"/>
                    </w:rPr>
                    <w:t>照明产品</w:t>
                  </w:r>
                </w:p>
                <w:p>
                  <w:pPr>
                    <w:pStyle w:val="null3"/>
                    <w:spacing w:after="195"/>
                    <w:jc w:val="left"/>
                  </w:pPr>
                  <w:r>
                    <w:rPr>
                      <w:rFonts w:ascii="仿宋_GB2312" w:hAnsi="仿宋_GB2312" w:cs="仿宋_GB2312" w:eastAsia="仿宋_GB2312"/>
                      <w:sz w:val="24"/>
                    </w:rPr>
                    <w:t>T/ES 10064-2019</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rPr>
                    <w:t>绿色产品评价</w:t>
                  </w:r>
                </w:p>
                <w:p>
                  <w:pPr>
                    <w:pStyle w:val="null3"/>
                    <w:spacing w:after="195"/>
                    <w:jc w:val="left"/>
                  </w:pPr>
                  <w:r>
                    <w:rPr>
                      <w:rFonts w:ascii="仿宋_GB2312" w:hAnsi="仿宋_GB2312" w:cs="仿宋_GB2312" w:eastAsia="仿宋_GB2312"/>
                      <w:sz w:val="24"/>
                    </w:rPr>
                    <w:t>照明产品</w:t>
                  </w:r>
                </w:p>
                <w:p>
                  <w:pPr>
                    <w:pStyle w:val="null3"/>
                    <w:spacing w:after="195"/>
                    <w:jc w:val="left"/>
                  </w:pPr>
                  <w:r>
                    <w:rPr>
                      <w:rFonts w:ascii="仿宋_GB2312" w:hAnsi="仿宋_GB2312" w:cs="仿宋_GB2312" w:eastAsia="仿宋_GB2312"/>
                      <w:sz w:val="24"/>
                    </w:rPr>
                    <w:t>GB/T 43017-2023</w:t>
                  </w:r>
                </w:p>
              </w:tc>
            </w:tr>
          </w:tbl>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1）工程所有材料质量必须符合国家标准和行业标准，并具有合格证或检验证；</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中标</w:t>
            </w:r>
            <w:r>
              <w:rPr>
                <w:rFonts w:ascii="仿宋_GB2312" w:hAnsi="仿宋_GB2312" w:cs="仿宋_GB2312" w:eastAsia="仿宋_GB2312"/>
                <w:sz w:val="24"/>
              </w:rPr>
              <w:t>供应商所有进场材料须提供环保检测等相关证明文件，无法提供相关证明资料的可</w:t>
            </w:r>
            <w:r>
              <w:rPr>
                <w:rFonts w:ascii="仿宋_GB2312" w:hAnsi="仿宋_GB2312" w:cs="仿宋_GB2312" w:eastAsia="仿宋_GB2312"/>
                <w:sz w:val="24"/>
              </w:rPr>
              <w:t>自行</w:t>
            </w:r>
            <w:r>
              <w:rPr>
                <w:rFonts w:ascii="仿宋_GB2312" w:hAnsi="仿宋_GB2312" w:cs="仿宋_GB2312" w:eastAsia="仿宋_GB2312"/>
                <w:sz w:val="24"/>
              </w:rPr>
              <w:t>委托具备检测资质的第三方单位进行环保检测，产品检测不合格的，</w:t>
            </w:r>
            <w:r>
              <w:rPr>
                <w:rFonts w:ascii="仿宋_GB2312" w:hAnsi="仿宋_GB2312" w:cs="仿宋_GB2312" w:eastAsia="仿宋_GB2312"/>
                <w:sz w:val="24"/>
              </w:rPr>
              <w:t>采购人</w:t>
            </w:r>
            <w:r>
              <w:rPr>
                <w:rFonts w:ascii="仿宋_GB2312" w:hAnsi="仿宋_GB2312" w:cs="仿宋_GB2312" w:eastAsia="仿宋_GB2312"/>
                <w:sz w:val="24"/>
              </w:rPr>
              <w:t>有权要求中标供应商进行限期整改并报复检，检测及复检费用由中标供应商承担</w:t>
            </w:r>
            <w:r>
              <w:rPr>
                <w:rFonts w:ascii="仿宋_GB2312" w:hAnsi="仿宋_GB2312" w:cs="仿宋_GB2312" w:eastAsia="仿宋_GB2312"/>
                <w:sz w:val="24"/>
              </w:rPr>
              <w:t>，</w:t>
            </w:r>
            <w:r>
              <w:rPr>
                <w:rFonts w:ascii="仿宋_GB2312" w:hAnsi="仿宋_GB2312" w:cs="仿宋_GB2312" w:eastAsia="仿宋_GB2312"/>
                <w:sz w:val="24"/>
              </w:rPr>
              <w:t>进场材料检测合格经</w:t>
            </w:r>
            <w:r>
              <w:rPr>
                <w:rFonts w:ascii="仿宋_GB2312" w:hAnsi="仿宋_GB2312" w:cs="仿宋_GB2312" w:eastAsia="仿宋_GB2312"/>
                <w:sz w:val="24"/>
              </w:rPr>
              <w:t>建设方</w:t>
            </w:r>
            <w:r>
              <w:rPr>
                <w:rFonts w:ascii="仿宋_GB2312" w:hAnsi="仿宋_GB2312" w:cs="仿宋_GB2312" w:eastAsia="仿宋_GB2312"/>
                <w:sz w:val="24"/>
              </w:rPr>
              <w:t>、监理方验收后方可投入使用。</w:t>
            </w:r>
          </w:p>
          <w:p>
            <w:pPr>
              <w:pStyle w:val="null3"/>
              <w:ind w:firstLine="400"/>
            </w:pPr>
            <w:r>
              <w:rPr>
                <w:rFonts w:ascii="仿宋_GB2312" w:hAnsi="仿宋_GB2312" w:cs="仿宋_GB2312" w:eastAsia="仿宋_GB2312"/>
                <w:sz w:val="24"/>
              </w:rPr>
              <w:t>五、安全责任</w:t>
            </w:r>
          </w:p>
          <w:p>
            <w:pPr>
              <w:pStyle w:val="null3"/>
              <w:ind w:firstLine="400"/>
            </w:pPr>
            <w:r>
              <w:rPr>
                <w:rFonts w:ascii="仿宋_GB2312" w:hAnsi="仿宋_GB2312" w:cs="仿宋_GB2312" w:eastAsia="仿宋_GB2312"/>
                <w:sz w:val="24"/>
              </w:rPr>
              <w:t>1、在施工期间，中标供应商必须注意院内人员安全，加强安全防护及警示措施，遵循国家有关安全生产的法规和甲方有关安全规章制度，办理工作人员出入证，并接受建设方</w:t>
            </w:r>
            <w:r>
              <w:rPr>
                <w:rFonts w:ascii="仿宋_GB2312" w:hAnsi="仿宋_GB2312" w:cs="仿宋_GB2312" w:eastAsia="仿宋_GB2312"/>
                <w:sz w:val="24"/>
              </w:rPr>
              <w:t>和</w:t>
            </w:r>
            <w:r>
              <w:rPr>
                <w:rFonts w:ascii="仿宋_GB2312" w:hAnsi="仿宋_GB2312" w:cs="仿宋_GB2312" w:eastAsia="仿宋_GB2312"/>
                <w:sz w:val="24"/>
              </w:rPr>
              <w:t>监理方正当、合理的监督检查。</w:t>
            </w:r>
          </w:p>
          <w:p>
            <w:pPr>
              <w:pStyle w:val="null3"/>
              <w:ind w:firstLine="400"/>
            </w:pPr>
            <w:r>
              <w:rPr>
                <w:rFonts w:ascii="仿宋_GB2312" w:hAnsi="仿宋_GB2312" w:cs="仿宋_GB2312" w:eastAsia="仿宋_GB2312"/>
                <w:sz w:val="24"/>
              </w:rPr>
              <w:t>2、中标供应商须按照有关规定对施工人员进行安全教育并配备足够的</w:t>
            </w:r>
            <w:r>
              <w:rPr>
                <w:rFonts w:ascii="仿宋_GB2312" w:hAnsi="仿宋_GB2312" w:cs="仿宋_GB2312" w:eastAsia="仿宋_GB2312"/>
                <w:sz w:val="24"/>
              </w:rPr>
              <w:t>安全员和</w:t>
            </w:r>
            <w:r>
              <w:rPr>
                <w:rFonts w:ascii="仿宋_GB2312" w:hAnsi="仿宋_GB2312" w:cs="仿宋_GB2312" w:eastAsia="仿宋_GB2312"/>
                <w:sz w:val="24"/>
              </w:rPr>
              <w:t>安全保护措施</w:t>
            </w:r>
            <w:r>
              <w:rPr>
                <w:rFonts w:ascii="仿宋_GB2312" w:hAnsi="仿宋_GB2312" w:cs="仿宋_GB2312" w:eastAsia="仿宋_GB2312"/>
                <w:sz w:val="24"/>
              </w:rPr>
              <w:t>，</w:t>
            </w:r>
            <w:r>
              <w:rPr>
                <w:rFonts w:ascii="仿宋_GB2312" w:hAnsi="仿宋_GB2312" w:cs="仿宋_GB2312" w:eastAsia="仿宋_GB2312"/>
                <w:sz w:val="24"/>
              </w:rPr>
              <w:t>施工人员必须持证上岗</w:t>
            </w:r>
            <w:r>
              <w:rPr>
                <w:rFonts w:ascii="仿宋_GB2312" w:hAnsi="仿宋_GB2312" w:cs="仿宋_GB2312" w:eastAsia="仿宋_GB2312"/>
                <w:sz w:val="24"/>
              </w:rPr>
              <w:t>。</w:t>
            </w:r>
          </w:p>
          <w:p>
            <w:pPr>
              <w:pStyle w:val="null3"/>
              <w:ind w:firstLine="400"/>
            </w:pPr>
            <w:r>
              <w:rPr>
                <w:rFonts w:ascii="仿宋_GB2312" w:hAnsi="仿宋_GB2312" w:cs="仿宋_GB2312" w:eastAsia="仿宋_GB2312"/>
                <w:sz w:val="24"/>
              </w:rPr>
              <w:t>3、中标供应商应按照设备规范操作，严把质量关，文明工作。</w:t>
            </w:r>
          </w:p>
          <w:p>
            <w:pPr>
              <w:pStyle w:val="null3"/>
              <w:ind w:firstLine="400"/>
            </w:pPr>
            <w:r>
              <w:rPr>
                <w:rFonts w:ascii="仿宋_GB2312" w:hAnsi="仿宋_GB2312" w:cs="仿宋_GB2312" w:eastAsia="仿宋_GB2312"/>
                <w:sz w:val="24"/>
              </w:rPr>
              <w:t>4、中标供应商需确保该项工程实施的可行性。</w:t>
            </w:r>
          </w:p>
          <w:p>
            <w:pPr>
              <w:pStyle w:val="null3"/>
              <w:ind w:firstLine="400"/>
            </w:pPr>
            <w:r>
              <w:rPr>
                <w:rFonts w:ascii="仿宋_GB2312" w:hAnsi="仿宋_GB2312" w:cs="仿宋_GB2312" w:eastAsia="仿宋_GB2312"/>
                <w:sz w:val="24"/>
              </w:rPr>
              <w:t>5、项目实施过程中，所造成的一切财产损失及人身意外，一切均由中标供应商负责。</w:t>
            </w:r>
          </w:p>
          <w:p>
            <w:pPr>
              <w:pStyle w:val="null3"/>
              <w:ind w:firstLine="400"/>
            </w:pPr>
            <w:r>
              <w:rPr>
                <w:rFonts w:ascii="仿宋_GB2312" w:hAnsi="仿宋_GB2312" w:cs="仿宋_GB2312" w:eastAsia="仿宋_GB2312"/>
                <w:sz w:val="24"/>
              </w:rPr>
              <w:t>6、为确保医院正常有序运转</w:t>
            </w:r>
            <w:r>
              <w:rPr>
                <w:rFonts w:ascii="仿宋_GB2312" w:hAnsi="仿宋_GB2312" w:cs="仿宋_GB2312" w:eastAsia="仿宋_GB2312"/>
                <w:sz w:val="24"/>
              </w:rPr>
              <w:t>及</w:t>
            </w:r>
            <w:r>
              <w:rPr>
                <w:rFonts w:ascii="仿宋_GB2312" w:hAnsi="仿宋_GB2312" w:cs="仿宋_GB2312" w:eastAsia="仿宋_GB2312"/>
                <w:sz w:val="24"/>
              </w:rPr>
              <w:t>采购人工作的特殊性，要求中标供应商在施工中做到封闭性施工，一切施工垃圾中标供应商应及时清运出现场，保障现场整洁性。</w:t>
            </w:r>
          </w:p>
          <w:p>
            <w:pPr>
              <w:pStyle w:val="null3"/>
            </w:pPr>
            <w:r>
              <w:rPr>
                <w:rFonts w:ascii="仿宋_GB2312" w:hAnsi="仿宋_GB2312" w:cs="仿宋_GB2312" w:eastAsia="仿宋_GB2312"/>
                <w:sz w:val="24"/>
              </w:rPr>
              <w:t>六、</w:t>
            </w:r>
            <w:r>
              <w:rPr>
                <w:rFonts w:ascii="仿宋_GB2312" w:hAnsi="仿宋_GB2312" w:cs="仿宋_GB2312" w:eastAsia="仿宋_GB2312"/>
                <w:sz w:val="24"/>
              </w:rPr>
              <w:t>其他</w:t>
            </w:r>
          </w:p>
          <w:p>
            <w:pPr>
              <w:pStyle w:val="null3"/>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）质量验收标准或规范</w:t>
            </w:r>
          </w:p>
          <w:p>
            <w:pPr>
              <w:pStyle w:val="null3"/>
            </w:pPr>
            <w:r>
              <w:rPr>
                <w:rFonts w:ascii="仿宋_GB2312" w:hAnsi="仿宋_GB2312" w:cs="仿宋_GB2312" w:eastAsia="仿宋_GB2312"/>
                <w:sz w:val="24"/>
              </w:rPr>
              <w:t>现行的国家标准或国家行政部门颁布的法律法规、规章制度等。</w:t>
            </w:r>
          </w:p>
          <w:p>
            <w:pPr>
              <w:pStyle w:val="null3"/>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）违约责任</w:t>
            </w:r>
          </w:p>
          <w:p>
            <w:pPr>
              <w:pStyle w:val="null3"/>
            </w:pPr>
            <w:r>
              <w:rPr>
                <w:rFonts w:ascii="仿宋_GB2312" w:hAnsi="仿宋_GB2312" w:cs="仿宋_GB2312" w:eastAsia="仿宋_GB2312"/>
                <w:sz w:val="24"/>
              </w:rPr>
              <w:t>1.按《中华人民共和国民法典》中的相关条款执行。</w:t>
            </w:r>
          </w:p>
          <w:p>
            <w:pPr>
              <w:pStyle w:val="null3"/>
            </w:pPr>
            <w:r>
              <w:rPr>
                <w:rFonts w:ascii="仿宋_GB2312" w:hAnsi="仿宋_GB2312" w:cs="仿宋_GB2312" w:eastAsia="仿宋_GB2312"/>
                <w:sz w:val="24"/>
              </w:rPr>
              <w:t>2.未按合同要求提供，质量不能满足技术要求的，甲方会同政府采购机构有权终止合同（合同自书面通知送达乙方之日解除），乙方赔偿甲方解除合同的全部损失（包括但不限于重新采购产生的费用及其它由此造成的甲方对第三方的违约损失），并按照合同总价的30%支付违约金。同时按《政府采购法》有关处罚条款报监管机构进行相应的处罚。</w:t>
            </w:r>
          </w:p>
          <w:p>
            <w:pPr>
              <w:pStyle w:val="null3"/>
            </w:pPr>
            <w:r>
              <w:rPr>
                <w:rFonts w:ascii="仿宋_GB2312" w:hAnsi="仿宋_GB2312" w:cs="仿宋_GB2312" w:eastAsia="仿宋_GB2312"/>
                <w:sz w:val="24"/>
              </w:rPr>
              <w:t>3.乙方提供的人员、材料、设备须与投标承诺一致，未经甲方书面同意不得擅自更换或撤出，擅自更换或撤出应向甲方支付人民币5000元的违约金，甲方有权从未支付的工程款中直接扣除。同时有权要求乙方限期恢复投标承诺约定的人员、设备配置；若违约金不足以弥补甲方实际损失的，甲方有权就超出部分向乙方追偿。</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商务要求</w:t>
            </w:r>
          </w:p>
          <w:p>
            <w:pPr>
              <w:pStyle w:val="null3"/>
            </w:pPr>
            <w:r>
              <w:rPr>
                <w:rFonts w:ascii="仿宋_GB2312" w:hAnsi="仿宋_GB2312" w:cs="仿宋_GB2312" w:eastAsia="仿宋_GB2312"/>
                <w:sz w:val="24"/>
              </w:rPr>
              <w:t>1.工期：</w:t>
            </w:r>
            <w:r>
              <w:rPr>
                <w:rFonts w:ascii="仿宋_GB2312" w:hAnsi="仿宋_GB2312" w:cs="仿宋_GB2312" w:eastAsia="仿宋_GB2312"/>
                <w:sz w:val="24"/>
              </w:rPr>
              <w:t>90</w:t>
            </w:r>
            <w:r>
              <w:rPr>
                <w:rFonts w:ascii="仿宋_GB2312" w:hAnsi="仿宋_GB2312" w:cs="仿宋_GB2312" w:eastAsia="仿宋_GB2312"/>
                <w:sz w:val="24"/>
              </w:rPr>
              <w:t>个日历</w:t>
            </w:r>
            <w:r>
              <w:rPr>
                <w:rFonts w:ascii="仿宋_GB2312" w:hAnsi="仿宋_GB2312" w:cs="仿宋_GB2312" w:eastAsia="仿宋_GB2312"/>
                <w:sz w:val="24"/>
              </w:rPr>
              <w:t>天</w:t>
            </w:r>
          </w:p>
          <w:p>
            <w:pPr>
              <w:pStyle w:val="null3"/>
            </w:pPr>
            <w:r>
              <w:rPr>
                <w:rFonts w:ascii="仿宋_GB2312" w:hAnsi="仿宋_GB2312" w:cs="仿宋_GB2312" w:eastAsia="仿宋_GB2312"/>
                <w:sz w:val="24"/>
              </w:rPr>
              <w:t>2、</w:t>
            </w:r>
            <w:r>
              <w:rPr>
                <w:rFonts w:ascii="仿宋_GB2312" w:hAnsi="仿宋_GB2312" w:cs="仿宋_GB2312" w:eastAsia="仿宋_GB2312"/>
                <w:sz w:val="24"/>
              </w:rPr>
              <w:t>施工</w:t>
            </w:r>
            <w:r>
              <w:rPr>
                <w:rFonts w:ascii="仿宋_GB2312" w:hAnsi="仿宋_GB2312" w:cs="仿宋_GB2312" w:eastAsia="仿宋_GB2312"/>
                <w:sz w:val="24"/>
              </w:rPr>
              <w:t>地点：</w:t>
            </w:r>
            <w:r>
              <w:rPr>
                <w:rFonts w:ascii="仿宋_GB2312" w:hAnsi="仿宋_GB2312" w:cs="仿宋_GB2312" w:eastAsia="仿宋_GB2312"/>
                <w:sz w:val="24"/>
              </w:rPr>
              <w:t>西安市西关正街西安市第五医院院内。</w:t>
            </w:r>
          </w:p>
          <w:p>
            <w:pPr>
              <w:pStyle w:val="null3"/>
            </w:pPr>
            <w:r>
              <w:rPr>
                <w:rFonts w:ascii="仿宋_GB2312" w:hAnsi="仿宋_GB2312" w:cs="仿宋_GB2312" w:eastAsia="仿宋_GB2312"/>
                <w:sz w:val="24"/>
              </w:rPr>
              <w:t>3.</w:t>
            </w:r>
            <w:r>
              <w:rPr>
                <w:rFonts w:ascii="仿宋_GB2312" w:hAnsi="仿宋_GB2312" w:cs="仿宋_GB2312" w:eastAsia="仿宋_GB2312"/>
                <w:sz w:val="24"/>
              </w:rPr>
              <w:t>支付方式：银行转账</w:t>
            </w:r>
          </w:p>
          <w:p>
            <w:pPr>
              <w:pStyle w:val="null3"/>
            </w:pPr>
            <w:r>
              <w:rPr>
                <w:rFonts w:ascii="仿宋_GB2312" w:hAnsi="仿宋_GB2312" w:cs="仿宋_GB2312" w:eastAsia="仿宋_GB2312"/>
                <w:sz w:val="24"/>
              </w:rPr>
              <w:t>第一次付款：工程竣工经甲方及监理方验收合格后，收到发票之日10个工作日，支付合同总价款的70%。</w:t>
            </w:r>
          </w:p>
          <w:p>
            <w:pPr>
              <w:pStyle w:val="null3"/>
            </w:pPr>
            <w:r>
              <w:rPr>
                <w:rFonts w:ascii="仿宋_GB2312" w:hAnsi="仿宋_GB2312" w:cs="仿宋_GB2312" w:eastAsia="仿宋_GB2312"/>
                <w:sz w:val="24"/>
              </w:rPr>
              <w:t>第二次付款：乙方报送整体竣工资料，配合甲方完成结算审计后，收到发票之日10个工作日，甲方向乙方支付至审计后总款项的97%。</w:t>
            </w:r>
          </w:p>
          <w:p>
            <w:pPr>
              <w:pStyle w:val="null3"/>
            </w:pPr>
            <w:r>
              <w:rPr>
                <w:rFonts w:ascii="仿宋_GB2312" w:hAnsi="仿宋_GB2312" w:cs="仿宋_GB2312" w:eastAsia="仿宋_GB2312"/>
                <w:sz w:val="24"/>
              </w:rPr>
              <w:t>第三次付款：留审计后总款项的3%，竣工验收之日起满两年后，如无工程质量问题，收到发票之日10个工作日内一次性无息返还。</w:t>
            </w:r>
          </w:p>
          <w:p>
            <w:pPr>
              <w:pStyle w:val="null3"/>
            </w:pPr>
            <w:r>
              <w:rPr>
                <w:rFonts w:ascii="仿宋_GB2312" w:hAnsi="仿宋_GB2312" w:cs="仿宋_GB2312" w:eastAsia="仿宋_GB2312"/>
                <w:sz w:val="24"/>
              </w:rPr>
              <w:t>4</w:t>
            </w:r>
            <w:r>
              <w:rPr>
                <w:rFonts w:ascii="仿宋_GB2312" w:hAnsi="仿宋_GB2312" w:cs="仿宋_GB2312" w:eastAsia="仿宋_GB2312"/>
                <w:sz w:val="24"/>
              </w:rPr>
              <w:t>、质量保证</w:t>
            </w:r>
          </w:p>
          <w:p>
            <w:pPr>
              <w:pStyle w:val="null3"/>
            </w:pPr>
            <w:r>
              <w:rPr>
                <w:rFonts w:ascii="仿宋_GB2312" w:hAnsi="仿宋_GB2312" w:cs="仿宋_GB2312" w:eastAsia="仿宋_GB2312"/>
                <w:sz w:val="24"/>
              </w:rPr>
              <w:t>（一）乙方应保质保量按照甲方要求施工，工程完工后乙方按照国家相关技术规范要求进行验收。乙方若不按甲方要求施工的，甲方有权要求乙方停工，乙方应在发包方规定期限内进行整改，停工期间工期不顺延，由此产生的费用及损失，乙方自行承担；乙方累计停工超过约定工期一半天数的，视为乙方根本违约，甲方有权单方解除合同，合同自书面解除通知送达乙方之日解除，乙方除应赔偿由此给甲方造成的全部损失外，还应按照合同总价的</w:t>
            </w:r>
            <w:r>
              <w:rPr>
                <w:rFonts w:ascii="仿宋_GB2312" w:hAnsi="仿宋_GB2312" w:cs="仿宋_GB2312" w:eastAsia="仿宋_GB2312"/>
                <w:sz w:val="24"/>
              </w:rPr>
              <w:t>30%承担违约金。</w:t>
            </w:r>
          </w:p>
          <w:p>
            <w:pPr>
              <w:pStyle w:val="null3"/>
            </w:pPr>
            <w:r>
              <w:rPr>
                <w:rFonts w:ascii="仿宋_GB2312" w:hAnsi="仿宋_GB2312" w:cs="仿宋_GB2312" w:eastAsia="仿宋_GB2312"/>
                <w:sz w:val="24"/>
              </w:rPr>
              <w:t>（二）乙方应妥善保护甲方提供的设备及现场放置的陈设、工程成品及主材，如造成损失，乙方照价赔偿。</w:t>
            </w:r>
          </w:p>
          <w:p>
            <w:pPr>
              <w:pStyle w:val="null3"/>
            </w:pPr>
            <w:r>
              <w:rPr>
                <w:rFonts w:ascii="仿宋_GB2312" w:hAnsi="仿宋_GB2312" w:cs="仿宋_GB2312" w:eastAsia="仿宋_GB2312"/>
                <w:sz w:val="24"/>
              </w:rPr>
              <w:t>（三）未经甲方书面同意，乙方擅自拆改原有建筑物的结构或设备管线，由此发生的损失或事故（包括罚款），由乙方负责并承担全部责任。</w:t>
            </w:r>
          </w:p>
          <w:p>
            <w:pPr>
              <w:pStyle w:val="null3"/>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质量保修期</w:t>
            </w:r>
          </w:p>
          <w:p>
            <w:pPr>
              <w:pStyle w:val="null3"/>
            </w:pPr>
            <w:r>
              <w:rPr>
                <w:rFonts w:ascii="仿宋_GB2312" w:hAnsi="仿宋_GB2312" w:cs="仿宋_GB2312" w:eastAsia="仿宋_GB2312"/>
                <w:sz w:val="24"/>
              </w:rPr>
              <w:t>按《建设工程质量管理条例》》第三十二条规定：乙方对施工中出现质量问题的建设工程或者竣工验收不合格的建设工程，应当负责返修且工期不顺延，由此产生的费用及造成的损失，乙方自行承担。</w:t>
            </w:r>
          </w:p>
          <w:p>
            <w:pPr>
              <w:pStyle w:val="null3"/>
            </w:pPr>
            <w:r>
              <w:rPr>
                <w:rFonts w:ascii="仿宋_GB2312" w:hAnsi="仿宋_GB2312" w:cs="仿宋_GB2312" w:eastAsia="仿宋_GB2312"/>
                <w:sz w:val="24"/>
              </w:rPr>
              <w:t>自验收合格之日起</w:t>
            </w:r>
            <w:r>
              <w:rPr>
                <w:rFonts w:ascii="仿宋_GB2312" w:hAnsi="仿宋_GB2312" w:cs="仿宋_GB2312" w:eastAsia="仿宋_GB2312"/>
                <w:sz w:val="24"/>
              </w:rPr>
              <w:t>两</w:t>
            </w:r>
            <w:r>
              <w:rPr>
                <w:rFonts w:ascii="仿宋_GB2312" w:hAnsi="仿宋_GB2312" w:cs="仿宋_GB2312" w:eastAsia="仿宋_GB2312"/>
                <w:sz w:val="24"/>
              </w:rPr>
              <w:t>年，根据成交单位响应文件，合同未约定质保事项以《房屋建筑工程质量保修办法》为准。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详见文件及国家或行业现有执行标准。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因系统设置原因，项目款项结算具体要求按照合同内容为准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的能力。提供注册登记凭证（营业执照、其他组织经营的合法凭证，自然人的提供身份证明文件）。 （2）具有良好的商业信誉和健全的财务会计制度。提供经审计的2023年或2024年度财务报告（包括四表一注，即资产负债表、利润表、现金流量表、所有者权益变动表及其附注，财务报告中附二维码）；事业法人提供部门决算报告；/或在开标日期前六个月内其开户银行出具的资信证明；/或财政部门认可的政府采购专业担保机构出具的投标担保函；以上三种形式的资料提供任何一种即可。 （3）具有履行合同所必需的设备和专业技术能力。提供声明文件。 （4）具有依法缴纳税收的良好记录。 提供缴费所属日期为投标截止时间前12个月内任意三个月份（投标截止时间当月不计入）的增值税（或所得税）缴费凭据或税务机关出具的完税证明/在法规范围内不需提供的应出具书面说明和证明文件；以上二种形式的资料提供任何一种即可。 （5）具有依法缴纳社会保障资金的良好记录。提供缴费所属日期为投标截止时间前12个月内任意三个月份（投标截止时间当月不计入）的缴费凭据或社保机关出具的缴费证明/在法规范围内不需提供的应出具书面说明和证明文件；以上二种形式的资料提供任何一种即可。 （6）参加政府采购活动前3年内在经营活动中没有重大违法记录的书面声明； （7）法定代表人授权书（至少提供投标文件递交截止之日前连续三个月的在本单位缴纳社保证明材料，不含开标当月）。</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 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项目管理机构组成表 技术和商务部分.docx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具有良好的商业信誉和健全的财务会计制度： 提供经审计的2023年或2024年度财务报告（包括四表一注，即资产负债表、利润表、现金流量表、所有者权益变动表及其附注，财务报告中附二维码）；事业法人提供部门决算报告；/或在开标日期前六个月内其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具有履行合同所必需的设备和专业技术能力提供声明文件。</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具有依法缴纳税收的良好记录：提供缴费所属日期为投标截止时间前12个月内任意三个月份（投标截止时间当月不计入）的增值税（或所得税）缴费凭据或税务机关出具的完税证明/在法规范围内不需提供的应出具书面说明和证明文件；以上二种形式的资料提供任何一种即可。</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具有依法缴纳社会保障资金的良好记录：提供缴费所属日期为投标截止时间前12个月内任意三个月份（投标截止时间当月不计入）的缴费凭据或社保机关出具的缴费证明/在法规范围内不需提供的应出具书面说明和证明文件；以上二种形式的资料提供任何一种即可。</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法定代表人授权书（至少提供投标文件递交截止之日前连续三个月的在本单位缴纳社保证明材料，不含开标当月）。</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供应商施工资质要求</w:t>
            </w:r>
          </w:p>
        </w:tc>
        <w:tc>
          <w:tcPr>
            <w:tcW w:type="dxa" w:w="3322"/>
          </w:tcPr>
          <w:p>
            <w:pPr>
              <w:pStyle w:val="null3"/>
            </w:pPr>
            <w:r>
              <w:rPr>
                <w:rFonts w:ascii="仿宋_GB2312" w:hAnsi="仿宋_GB2312" w:cs="仿宋_GB2312" w:eastAsia="仿宋_GB2312"/>
              </w:rPr>
              <w:t>供应商须持有建筑工程施工总承包三级及以上资质证书，及有效的安全生产许可证</w:t>
            </w:r>
          </w:p>
        </w:tc>
        <w:tc>
          <w:tcPr>
            <w:tcW w:type="dxa" w:w="1661"/>
          </w:tcPr>
          <w:p>
            <w:pPr>
              <w:pStyle w:val="null3"/>
            </w:pPr>
            <w:r>
              <w:rPr>
                <w:rFonts w:ascii="仿宋_GB2312" w:hAnsi="仿宋_GB2312" w:cs="仿宋_GB2312" w:eastAsia="仿宋_GB2312"/>
              </w:rPr>
              <w:t>技术和商务部分.docx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拟派项目经理须具备建筑工程专业二级或以上注册建造师执业资格，及有效的安全生产考核合格证书，且未担任其他在建工程项目的项目经理，提供承诺书；（提交投标截止时间前12个月内任意三个月份在本单位缴纳社保证明材料）</w:t>
            </w:r>
          </w:p>
        </w:tc>
        <w:tc>
          <w:tcPr>
            <w:tcW w:type="dxa" w:w="1661"/>
          </w:tcPr>
          <w:p>
            <w:pPr>
              <w:pStyle w:val="null3"/>
            </w:pPr>
            <w:r>
              <w:rPr>
                <w:rFonts w:ascii="仿宋_GB2312" w:hAnsi="仿宋_GB2312" w:cs="仿宋_GB2312" w:eastAsia="仿宋_GB2312"/>
              </w:rPr>
              <w:t>技术和商务部分.docx 响应函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建筑企业信息查询</w:t>
            </w:r>
          </w:p>
        </w:tc>
        <w:tc>
          <w:tcPr>
            <w:tcW w:type="dxa" w:w="3322"/>
          </w:tcPr>
          <w:p>
            <w:pPr>
              <w:pStyle w:val="null3"/>
            </w:pPr>
            <w:r>
              <w:rPr>
                <w:rFonts w:ascii="仿宋_GB2312" w:hAnsi="仿宋_GB2312" w:cs="仿宋_GB2312" w:eastAsia="仿宋_GB2312"/>
              </w:rPr>
              <w:t>建筑企业信息查询，供应商及项目经理信息在“陕西省建筑市场监管与诚信信息发布平台”可查询。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资格部分.docx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技术和商务部分.docx 供应商类似项目业绩一览表 响应函 主要人员简历表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1、磋商响应文件的签署、加盖印章是否有效； 2、提供的各种证明文件、数据、资料是否有效。</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技术和商务部分.docx 供应商类似项目业绩一览表 响应函 主要人员简历表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1、磋商报价是否超过采购预算、最高限价； 2、磋商报价有效期是否符合磋商文件的要求； 3、响应文件内容是否符合国家法律法规； 4、是否响应实质性条款以及《利益关系承诺函》、《控股关系关联承诺书》、《施工单位不拖欠农民工工资承诺书》。</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技术和商务部分.docx 供应商类似项目业绩一览表 响应函 主要人员简历表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提供针对本项目的项目实施方案及措施进行综合评审。 实施方案完整详细、有针对性，完全满足项目实施，具有优化建议的，内容无瑕疵得15分，每有一处瑕疵扣0.1～3分。 注：本项内容中所称的“瑕疵”指以下任意一种情形： ①方案部分内容不满足项目要求； ②方案表述不完整或缺少关键分析点； ③方案科学合理性或针对性或实用性不强； ④方案表述前后矛盾、无连贯性、内容存在逻辑漏洞、常识性错误； 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提供针对本项目提供具体的安全作业方案及安全配套措施进行综合评审。 提供具体详细、有针对性的安全作业方案及安全配套措施，完全符合采购人安全作业要求且具有优化建议的，内容无瑕疵得10分，每有一处瑕疵扣0.1～2分。 注：本项内容中所称的“瑕疵”指以下任意一种情形： ①方案部分内容不满足项目要求； ②方案表述不完整或缺少关键分析点； ③方案科学合理性或针对性或实用性不强； ④方案表述前后矛盾、无连贯性、内容存在逻辑漏洞、常识性错误； 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措施计划详细齐全、合理且切实可行，完全满足采购人需求，内容无瑕疵得8分，每有一处瑕疵扣0.1～2分。 注：本项内容中所称的“瑕疵”指以下任意一种情形： ①措施部分内容不满足项目要求； ②措施表述不完整或缺少关键分析点； ③措施科学合理性或针对性或实用性不强； ④措施表述前后矛盾、无连贯性、内容存在逻辑漏洞、常识性错误； ⑤措施部分内容并不适用本项目特性或非专门针对本项目制定。未提供得0分。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提供针对本项目的文明施工措施计划进行综合评审。 措施计划详细齐全、合理且切实可行，完全满足采购人需求，具有优化建议的内容无瑕疵得3分，每有一处瑕疵扣0.1～1分。 注：本项内容中所称的“瑕疵”指以下任意一种情形： ①措施部分内容不满足项目要求； ②措施表述不完整或缺少关键分析点； ③措施科学合理性或针对性或实用性不强； ④措施表述前后矛盾、无连贯性、内容存在逻辑漏洞、常识性错误； ⑤措施部分内容并不适用本项目特性或非专门针对本项目制定。未提供得0分。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提供针对本项目的项目组织管理机构配备进行综合评审。 机构设置合理完善，人员配备齐全，技术经验丰富，人员专业性强，完全满足项目需求，内容无瑕疵得5分，每有一处瑕疵扣0.1～1分。 注：本项内容中所称的“瑕疵”指以下任意一种情形： ①机构设置部分内容不满足项目要求； ②机构设置表述不完整或缺少关键分析点； ③机构设置科学合理性或针对性或实用性不强； ④机构设置表述前后矛盾、无连贯性、内容存在逻辑漏洞、常识性错误； ⑤机构设置部分内容并不适用本项目特性或非专门针对本项目制定。未提供得0分。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施工机械配备合理和材料环保性较好，提供了设备来源证明材料的得，内容无瑕疵得5分，每有一处瑕疵扣0.1～1分。 注：本项内容中所称的“瑕疵”指以下任意一种情形： ①计划部分内容不满足项目要求； ②计划表述不完整或缺少关键分析点； ③计划科学合理性或针对性或实用性不强； ④计划表述前后矛盾、无连贯性、内容存在逻辑漏洞、常识性错误； ⑤计划部分内容并不适用本项目特性或非专门针对本项目制定。未提供得0分。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根据供应商就本项目劳动力安排计划及劳务分包情况表，根据合理、可行程度进行评审。 劳动力安排计划及劳务分包完整、合理、可行，有利于本项目，内容无瑕疵得2分，每有一处瑕疵扣0.1～1分。 注：本项内容中所称的“瑕疵”指以下任意一种情形： ①内容不满足项目要求； ②内容表述不完整或缺少关键分析点； ③内容科学合理性或针对性或实用性不强； ④内容表述前后矛盾、无连贯性、内容存在逻辑漏洞、常识性错误； ⑤内容部分并不适用本项目特性或非专门针对本项目制定。未提供得0分。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主要材料要求</w:t>
            </w:r>
          </w:p>
        </w:tc>
        <w:tc>
          <w:tcPr>
            <w:tcW w:type="dxa" w:w="2492"/>
          </w:tcPr>
          <w:p>
            <w:pPr>
              <w:pStyle w:val="null3"/>
            </w:pPr>
            <w:r>
              <w:rPr>
                <w:rFonts w:ascii="仿宋_GB2312" w:hAnsi="仿宋_GB2312" w:cs="仿宋_GB2312" w:eastAsia="仿宋_GB2312"/>
              </w:rPr>
              <w:t>供应商提供针对本项目提供主要材料清单（清单内容包括但不限于材料名称、品牌、产地、规格、技术参数等）。 主要材料配备合理并提供来源证明材料，证明材料齐全且投入材料环保性优于国家标准的内容无瑕疵得10分，每有一处瑕疵扣0.1～2分。 注：本项内容中所称的“瑕疵”指以下任意一种情形： ①内容不满足项目要求； ②内容表述不完整或缺少关键分析点； ③内容科学合理性或针对性或实用性不强； ④内容表述前后矛盾、无连贯性、内容存在逻辑漏洞、常识性错误； ⑤内容并不适用本项目特性或非专门针对本项目制定。未提供得0分。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供应商投入本项目所使用的施工主要材料中的产品属于政府采购优先采购范围的，则每有一项为节能产品或者环境标志产品的得1分，非节能、环境标志产品的不得分。本项最多得2分。 注：属于优先采购范围内的节能产品或者环境标志产品的，提供国家确定的认证机构出具的、处于有效期之内的节能产品、环境标志产品认证证书复印件加盖供应商公章（鲜章）。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提供供应商2022年10月至磋商截止时间前同类施工项目业绩；每提供1份计2分，最高得10分。提供合同复印件为准。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技术和商务部分.docx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1、磋商报价得分=（磋商基准价/最后磋商评审价）×30分。磋商基准价=各供应商的最后报价中经评审的最低价。 2、超出最高限价的报价为无效报价。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详见附件：技术和商务部分.docx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