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版本号：SXWZ2025ZB-SXCB-29220251201001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“唐诗之都”城市景观小品设计制作项目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SXWZ2025ZB-SXCB-292</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“唐诗之都”城市景观小品设计制作项目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“唐诗之都”城市景观小品设计制作项目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“唐诗之都”城市景观小品设计制作项目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采购包1（“唐诗之都”城市景观小品设计制作项目）：属于专门面向中小企业采购。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张刘艳 张航波 郝思思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详见采购文件、响应文件和合同约定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“唐诗之都”城市景观小品设计制作项目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“唐诗之都”城市景观小品设计制作项目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标的名称：“唐诗之都”城市景观小品设计制作项目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rPr>
              <w:t>一、项目内容</w:t>
            </w:r>
          </w:p>
          <w:p>
            <w:pPr>
              <w:pStyle w:val="null3"/>
            </w:pPr>
            <w:r>
              <w:rPr>
                <w:rFonts w:ascii="仿宋_GB2312" w:hAnsi="仿宋_GB2312" w:cs="仿宋_GB2312" w:eastAsia="仿宋_GB2312"/>
                <w:sz w:val="22"/>
              </w:rPr>
              <w:t>1.</w:t>
            </w:r>
            <w:r>
              <w:rPr>
                <w:rFonts w:ascii="仿宋_GB2312" w:hAnsi="仿宋_GB2312" w:cs="仿宋_GB2312" w:eastAsia="仿宋_GB2312"/>
                <w:sz w:val="22"/>
              </w:rPr>
              <w:t>设计制作</w:t>
            </w:r>
            <w:r>
              <w:rPr>
                <w:rFonts w:ascii="仿宋_GB2312" w:hAnsi="仿宋_GB2312" w:cs="仿宋_GB2312" w:eastAsia="仿宋_GB2312"/>
                <w:sz w:val="22"/>
              </w:rPr>
              <w:t>“诗境沉浸类”景观1个，核心理念是让游客与市民“走入”诗中所描绘的场景，实现时空对话，感受唐诗的意境与情感，主要取景在室外景区和自然景观。</w:t>
            </w:r>
          </w:p>
          <w:p>
            <w:pPr>
              <w:pStyle w:val="null3"/>
            </w:pPr>
            <w:r>
              <w:rPr>
                <w:rFonts w:ascii="仿宋_GB2312" w:hAnsi="仿宋_GB2312" w:cs="仿宋_GB2312" w:eastAsia="仿宋_GB2312"/>
                <w:sz w:val="22"/>
              </w:rPr>
              <w:t>2.</w:t>
            </w:r>
            <w:r>
              <w:rPr>
                <w:rFonts w:ascii="仿宋_GB2312" w:hAnsi="仿宋_GB2312" w:cs="仿宋_GB2312" w:eastAsia="仿宋_GB2312"/>
                <w:sz w:val="22"/>
              </w:rPr>
              <w:t>设计制作</w:t>
            </w:r>
            <w:r>
              <w:rPr>
                <w:rFonts w:ascii="仿宋_GB2312" w:hAnsi="仿宋_GB2312" w:cs="仿宋_GB2312" w:eastAsia="仿宋_GB2312"/>
                <w:sz w:val="22"/>
              </w:rPr>
              <w:t>“互动体验类”景观2个，核心理念是运用科技赋能，让唐诗“活”起来，实现“可玩”，在趣味互动中学习和传播唐诗，主要取景在历史文化景点、商业综合体。</w:t>
            </w:r>
          </w:p>
          <w:p>
            <w:pPr>
              <w:pStyle w:val="null3"/>
            </w:pPr>
            <w:r>
              <w:rPr>
                <w:rFonts w:ascii="仿宋_GB2312" w:hAnsi="仿宋_GB2312" w:cs="仿宋_GB2312" w:eastAsia="仿宋_GB2312"/>
                <w:sz w:val="22"/>
              </w:rPr>
              <w:t>3.</w:t>
            </w:r>
            <w:r>
              <w:rPr>
                <w:rFonts w:ascii="仿宋_GB2312" w:hAnsi="仿宋_GB2312" w:cs="仿宋_GB2312" w:eastAsia="仿宋_GB2312"/>
                <w:sz w:val="22"/>
              </w:rPr>
              <w:t>设计制作</w:t>
            </w:r>
            <w:r>
              <w:rPr>
                <w:rFonts w:ascii="仿宋_GB2312" w:hAnsi="仿宋_GB2312" w:cs="仿宋_GB2312" w:eastAsia="仿宋_GB2312"/>
                <w:sz w:val="22"/>
              </w:rPr>
              <w:t>“传播启迪类”景观2个，核心理念是侧重于文化知识的普及、市民的共享以及传统节日的日常浸润，主要取景在地铁大型换乘站、机场候机大厅、高铁候车大厅。</w:t>
            </w:r>
          </w:p>
          <w:p>
            <w:pPr>
              <w:pStyle w:val="null3"/>
            </w:pPr>
            <w:r>
              <w:rPr>
                <w:rFonts w:ascii="仿宋_GB2312" w:hAnsi="仿宋_GB2312" w:cs="仿宋_GB2312" w:eastAsia="仿宋_GB2312"/>
                <w:sz w:val="22"/>
              </w:rPr>
              <w:t>二、服务及验收要求</w:t>
            </w:r>
          </w:p>
          <w:p>
            <w:pPr>
              <w:pStyle w:val="null3"/>
            </w:pPr>
            <w:r>
              <w:rPr>
                <w:rFonts w:ascii="仿宋_GB2312" w:hAnsi="仿宋_GB2312" w:cs="仿宋_GB2312" w:eastAsia="仿宋_GB2312"/>
                <w:sz w:val="22"/>
                <w:shd w:fill="FFFFFF" w:val="clear"/>
              </w:rPr>
              <w:t>1.结合采购需求和重点，设计、制作、安装“唐诗之都”景观小品，景观小品在形态上包括永久、半永久及可拆解挪移3类，在功能上各有侧重，在材质上更有不同，紧密结合周边城市风貌，使唐诗文化更好植入城市公共空间，打造可看可学可玩的“唐诗文化打卡点”，初步构建一个立体多元的唐诗文化景观体系。</w:t>
            </w:r>
          </w:p>
          <w:p>
            <w:pPr>
              <w:pStyle w:val="null3"/>
              <w:jc w:val="both"/>
            </w:pPr>
            <w:r>
              <w:rPr>
                <w:rFonts w:ascii="仿宋_GB2312" w:hAnsi="仿宋_GB2312" w:cs="仿宋_GB2312" w:eastAsia="仿宋_GB2312"/>
                <w:sz w:val="22"/>
                <w:shd w:fill="FFFFFF" w:val="clear"/>
              </w:rPr>
              <w:t>2.计划于2025年12月完成景观小品选址，2026年2月前完成部分点位安装工作，通过唐诗之都城市景观小品建设，将文化内涵注入城市家具，提升城市公共空间的艺术品位和文化质感，加强城市历史文化沉浸式体验，打造更多可触摸的实体文化节点，增强城市游览的带入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所有为履行本合同而产生的交付成果，其全部知识产归采购人所有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 年 02 月28日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合同签订且供应商开具增值税发票后，以银行转账方式 </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 壹份。 纸质投标文件正副本均需胶装， 若电子投标文件与纸质投标文件不一致的，以在线提交的电子投标文件为准； 线下递交文件地点： 西安市高新区唐延路旺座现代城C座25楼2502室；若选择邮寄，请邮寄至旺座现代城C座25楼2502室。联系电话：029-88319689-8006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13.供应商承诺书.docx 中小企业声明函 02供应商资格证明资料.docx 标的清单 报价表 3.商务和服务响应偏离表.docx 响应函 14.供应商认为其他有必要说明的其他问题.docx 12.供应商业绩一览表.docx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①“诗境沉浸类”景观设计、制作、安装、选址方案；②“互动体验类”景观设计、制作、安装、选址方案；③“传播启迪类”景观设计、制作、安装、选址方案。设计、制作、安装、选址方案需结合项目需求和重点，每个景观记10分，本实施方案最高计30分。 每个景观评分依据如下： 1、内容完整详尽、思路清晰，方案及工作安排合理，涵盖内容全面，充分满足项目需求和重点，得10分； 2、内容基本完整、思路基本清晰，方案及工作安排较合理，涵盖内容较全面，基本满足项目需求和重点，得7分； 3、内容缺失、思路不清晰，方案及工作安排不合理，不能体现项目需求和重点，得4分； 4、内容缺失、与项目需求及重点严重不符，得1分。 5.不提供方案不得分。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根据本项目实际需求及特点，制定进度保障方案，方案包括：①各阶段工作流程；②进度计划目标；③进度控制措施。方案必须全面，对评审内容中的各项要求有详细描述，切合本项目实际情况，提出步骤清晰、合理的方案，方案能够紧扣项目实际情况，内容科学合理。完全符合本项目需求每项计3分，本实施方案最高计9分，以上方案中每缺少一项内容扣3分；每有一处内容与实际需求不符或不满足要求或与本项目需求不切合或直接套用其他项目内容的扣0.1-2.5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6.进度保障方案.docx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针对本项目采用多种方式进行宣传，让更多的市民更多的走近景观，感受唐诗文化来。宣传方案切实可行，完全满足项目需求、可操作性强得5分；宣传方案基本可行，基本满足项目需求、可操作性强得3分；宣传方案空泛，一般满足项目需求、可操作性差得1分。未提供相关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7.宣传方案.docx</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根据供应商拟投入的关键设施设备配备情况。 1.设施设备配备齐全、合理、专业能完全满足需求的计5分; 2.设施设备配备有缺陷、基本满足需求的计3分; 3.投入设施设备不能满足项目需求的计1分； 4.未提供本项不计分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8.设备投入方案.docx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供应商针对本项目提供服务团队的人员配备方案具有专业的执行团队（包括但不限于项目负责人、设计、宣传、施工、管理等岗位设置），提供人员证明材料（不限于毕业证或学历证等相关证明材料复印件）。 1.人员配备合理，专业性强，经验丰富，职责分工明确，得10分； 2.人员配备较合理，专业性较强，经验较丰富，职责分工较明确，得8分； 3.人员配备基本合理，专业性经验基本丰富，职责分工基本明确，得6分； 4.人员配备一般、专业性一般，经验欠缺，职责分工一般，得4分； 5.人员配备合理差、专业性差，职责分工不明确，得2分； 6.未提供相关内容的不得分。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9.服务团队.docx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3分；承诺较好、可操作性较强得2分；承诺一般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10.服务承诺.docx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供应商针对本项目可能发生突发情况的应急预案，① 有可能发生的突发情况分析②针对突发紧急情况的处置方案③完善的防护措施；处置方案及防护措施全部内容均能对项目开展提供保障作用。完全符合本项目需求每项计3分，本实施方案最高计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01分项报价表.docx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详见附件：6.进度保障方案.docx</w:t>
      </w:r>
    </w:p>
    <w:p>
      <w:pPr>
        <w:pStyle w:val="null3"/>
        <w:ind w:firstLine="960"/>
      </w:pPr>
      <w:r>
        <w:rPr>
          <w:rFonts w:ascii="仿宋_GB2312" w:hAnsi="仿宋_GB2312" w:cs="仿宋_GB2312" w:eastAsia="仿宋_GB2312"/>
        </w:rPr>
        <w:t>详见附件：7.宣传方案.docx</w:t>
      </w:r>
    </w:p>
    <w:p>
      <w:pPr>
        <w:pStyle w:val="null3"/>
        <w:ind w:firstLine="960"/>
      </w:pPr>
      <w:r>
        <w:rPr>
          <w:rFonts w:ascii="仿宋_GB2312" w:hAnsi="仿宋_GB2312" w:cs="仿宋_GB2312" w:eastAsia="仿宋_GB2312"/>
        </w:rPr>
        <w:t>详见附件：8.设备投入方案.docx</w:t>
      </w:r>
    </w:p>
    <w:p>
      <w:pPr>
        <w:pStyle w:val="null3"/>
        <w:ind w:firstLine="960"/>
      </w:pPr>
      <w:r>
        <w:rPr>
          <w:rFonts w:ascii="仿宋_GB2312" w:hAnsi="仿宋_GB2312" w:cs="仿宋_GB2312" w:eastAsia="仿宋_GB2312"/>
        </w:rPr>
        <w:t>详见附件：9.服务团队.docx</w:t>
      </w:r>
    </w:p>
    <w:p>
      <w:pPr>
        <w:pStyle w:val="null3"/>
        <w:ind w:firstLine="960"/>
      </w:pPr>
      <w:r>
        <w:rPr>
          <w:rFonts w:ascii="仿宋_GB2312" w:hAnsi="仿宋_GB2312" w:cs="仿宋_GB2312" w:eastAsia="仿宋_GB2312"/>
        </w:rPr>
        <w:t>详见附件：10.服务承诺.docx</w:t>
      </w:r>
    </w:p>
    <w:p>
      <w:pPr>
        <w:pStyle w:val="null3"/>
        <w:ind w:firstLine="960"/>
      </w:pPr>
      <w:r>
        <w:rPr>
          <w:rFonts w:ascii="仿宋_GB2312" w:hAnsi="仿宋_GB2312" w:cs="仿宋_GB2312" w:eastAsia="仿宋_GB2312"/>
        </w:rPr>
        <w:t>详见附件：11.应急预案.docx</w:t>
      </w:r>
    </w:p>
    <w:p>
      <w:pPr>
        <w:pStyle w:val="null3"/>
        <w:ind w:firstLine="960"/>
      </w:pPr>
      <w:r>
        <w:rPr>
          <w:rFonts w:ascii="仿宋_GB2312" w:hAnsi="仿宋_GB2312" w:cs="仿宋_GB2312" w:eastAsia="仿宋_GB2312"/>
        </w:rPr>
        <w:t>详见附件：12.供应商业绩一览表.docx</w:t>
      </w:r>
    </w:p>
    <w:p>
      <w:pPr>
        <w:pStyle w:val="null3"/>
        <w:ind w:firstLine="960"/>
      </w:pPr>
      <w:r>
        <w:rPr>
          <w:rFonts w:ascii="仿宋_GB2312" w:hAnsi="仿宋_GB2312" w:cs="仿宋_GB2312" w:eastAsia="仿宋_GB2312"/>
        </w:rPr>
        <w:t>详见附件：13.供应商承诺书.docx</w:t>
      </w:r>
    </w:p>
    <w:p>
      <w:pPr>
        <w:pStyle w:val="null3"/>
        <w:ind w:firstLine="960"/>
      </w:pPr>
      <w:r>
        <w:rPr>
          <w:rFonts w:ascii="仿宋_GB2312" w:hAnsi="仿宋_GB2312" w:cs="仿宋_GB2312" w:eastAsia="仿宋_GB2312"/>
        </w:rPr>
        <w:t>详见附件：14.供应商认为其他有必要说明的其他问题.docx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