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版本号：SXWZ2025ZB-SGLJ-28120251201002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西安市中小学知识产权创新教育活动项目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SXWZ2025ZB-SGLJ-281</w:t>
      </w:r>
      <w:r>
        <w:br/>
      </w:r>
      <w:r>
        <w:br/>
      </w:r>
      <w:r>
        <w:br/>
      </w:r>
    </w:p>
    <w:p>
      <w:pPr>
        <w:pStyle w:val="null3"/>
        <w:jc w:val="center"/>
        <w:outlineLvl w:val="2"/>
      </w:pPr>
      <w:r>
        <w:rPr>
          <w:rFonts w:ascii="仿宋_GB2312" w:hAnsi="仿宋_GB2312" w:cs="仿宋_GB2312" w:eastAsia="仿宋_GB2312"/>
          <w:sz w:val="28"/>
          <w:b/>
        </w:rPr>
        <w:t>西安市市场监督管理局</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w:t>
      </w:r>
      <w:r>
        <w:rPr>
          <w:rFonts w:ascii="仿宋_GB2312" w:hAnsi="仿宋_GB2312" w:cs="仿宋_GB2312" w:eastAsia="仿宋_GB2312"/>
        </w:rPr>
        <w:t>委托，拟对</w:t>
      </w:r>
      <w:r>
        <w:rPr>
          <w:rFonts w:ascii="仿宋_GB2312" w:hAnsi="仿宋_GB2312" w:cs="仿宋_GB2312" w:eastAsia="仿宋_GB2312"/>
        </w:rPr>
        <w:t>西安市中小学知识产权创新教育活动项目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SXWZ2025ZB-SGLJ-281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西安市中小学知识产权创新教育活动项目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西安市中小学知识产权创新教育活动项目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明书；</w:t>
      </w:r>
    </w:p>
    <w:p>
      <w:pPr>
        <w:pStyle w:val="null3"/>
      </w:pPr>
      <w:r>
        <w:rPr>
          <w:rFonts w:ascii="仿宋_GB2312" w:hAnsi="仿宋_GB2312" w:cs="仿宋_GB2312" w:eastAsia="仿宋_GB2312"/>
        </w:rPr>
        <w:t>7、非联合体声明：本项目不接受联合体磋商。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凤城八路109号2号楼五层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029-88223685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代理服务费收费标准：以本采购项目成交价为基数，参照（计价格[2002]1980号）文件规定的标准收费，由成交供应商在领取成交通知书时向招标代理机构交纳代理服务费，不足3000元的，按3000元计取。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按照采购文件、响应文件和合同文件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联系人：薛毅凡 张刘艳</w:t>
      </w:r>
    </w:p>
    <w:p>
      <w:pPr>
        <w:pStyle w:val="null3"/>
      </w:pPr>
      <w:r>
        <w:rPr>
          <w:rFonts w:ascii="仿宋_GB2312" w:hAnsi="仿宋_GB2312" w:cs="仿宋_GB2312" w:eastAsia="仿宋_GB2312"/>
        </w:rPr>
        <w:t>联系电话：029-88319689-8007</w:t>
      </w:r>
    </w:p>
    <w:p>
      <w:pPr>
        <w:pStyle w:val="null3"/>
      </w:pPr>
      <w:r>
        <w:rPr>
          <w:rFonts w:ascii="仿宋_GB2312" w:hAnsi="仿宋_GB2312" w:cs="仿宋_GB2312" w:eastAsia="仿宋_GB2312"/>
        </w:rPr>
        <w:t>地址：西安市高新区旺座现代城C座2502室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西安市中小学知识产权创新教育活动项目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西安市中小学知识产权创新教育活动项目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标的名称：西安市中小学知识产权创新教育活动项目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一、项目背景与目标</w:t>
            </w:r>
          </w:p>
          <w:p>
            <w:pPr>
              <w:pStyle w:val="null3"/>
              <w:jc w:val="both"/>
            </w:pPr>
            <w:r>
              <w:rPr>
                <w:rFonts w:ascii="仿宋_GB2312" w:hAnsi="仿宋_GB2312" w:cs="仿宋_GB2312" w:eastAsia="仿宋_GB2312"/>
                <w:sz w:val="20"/>
              </w:rPr>
              <w:t>1. 项目背景：</w:t>
            </w:r>
          </w:p>
          <w:p>
            <w:pPr>
              <w:pStyle w:val="null3"/>
              <w:jc w:val="both"/>
            </w:pPr>
            <w:r>
              <w:rPr>
                <w:rFonts w:ascii="仿宋_GB2312" w:hAnsi="仿宋_GB2312" w:cs="仿宋_GB2312" w:eastAsia="仿宋_GB2312"/>
                <w:sz w:val="20"/>
              </w:rPr>
              <w:t>为贯彻落实国家创新驱动发展战略，加强知识产权强国建设，从青少年阶段开始普及知识产权文化、提升创新素养至关重要。当前，我市中小学知识产权教育体系尚不完善，专业化师资力量薄弱，青少年对知识产权的认知和尊重意识有待加强。本项目旨在通过系统化、趣味化的方式，将知识产权创新教育深度融入基础教育体系，为培养未来创新型人才奠定坚实基础。</w:t>
            </w:r>
          </w:p>
          <w:p>
            <w:pPr>
              <w:pStyle w:val="null3"/>
              <w:jc w:val="both"/>
            </w:pPr>
            <w:r>
              <w:rPr>
                <w:rFonts w:ascii="仿宋_GB2312" w:hAnsi="仿宋_GB2312" w:cs="仿宋_GB2312" w:eastAsia="仿宋_GB2312"/>
                <w:sz w:val="20"/>
              </w:rPr>
              <w:t>2. 项目目标：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1）近期目标：建立并完善一套适合本市中小学生的知识产权基础课程体系。年度内直接服务覆盖20所以上中小学，直接受益师生超过5000人次。培养一批具备知识产权教学能力的骨干教师。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2）中期目标：显著提升参与学校师生的知识产权意识、创新思维和实践能力，在校内形成“尊重知识、崇尚创新、诚信守法”的良好氛围。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3）长期目标：通过“教育一个学生，影响一个家庭，带动整个社会”的辐射效应，提升社会公众对知识产权的认知水平，打造本市青少年知识产权创新教育的特色品牌。</w:t>
            </w:r>
          </w:p>
          <w:p>
            <w:pPr>
              <w:pStyle w:val="null3"/>
              <w:jc w:val="both"/>
            </w:pPr>
            <w:r>
              <w:rPr>
                <w:rFonts w:ascii="仿宋_GB2312" w:hAnsi="仿宋_GB2312" w:cs="仿宋_GB2312" w:eastAsia="仿宋_GB2312"/>
                <w:sz w:val="20"/>
              </w:rPr>
              <w:t>二、项目主要内容与要求</w:t>
            </w:r>
          </w:p>
          <w:p>
            <w:pPr>
              <w:pStyle w:val="null3"/>
              <w:jc w:val="both"/>
            </w:pPr>
            <w:r>
              <w:rPr>
                <w:rFonts w:ascii="仿宋_GB2312" w:hAnsi="仿宋_GB2312" w:cs="仿宋_GB2312" w:eastAsia="仿宋_GB2312"/>
                <w:sz w:val="20"/>
              </w:rPr>
              <w:t>（一）知识产权教育课程体系研发</w:t>
            </w:r>
          </w:p>
          <w:p>
            <w:pPr>
              <w:pStyle w:val="null3"/>
              <w:jc w:val="both"/>
            </w:pPr>
            <w:r>
              <w:rPr>
                <w:rFonts w:ascii="仿宋_GB2312" w:hAnsi="仿宋_GB2312" w:cs="仿宋_GB2312" w:eastAsia="仿宋_GB2312"/>
                <w:sz w:val="20"/>
              </w:rPr>
              <w:t>1.内容要求：研发一套覆盖小学、初中、高中不同学段的、梯度化、模块化的知识产权教育课程体系。开发</w:t>
            </w:r>
            <w:r>
              <w:rPr>
                <w:rFonts w:ascii="仿宋_GB2312" w:hAnsi="仿宋_GB2312" w:cs="仿宋_GB2312" w:eastAsia="仿宋_GB2312"/>
                <w:sz w:val="20"/>
              </w:rPr>
              <w:t>至少</w:t>
            </w:r>
            <w:r>
              <w:rPr>
                <w:rFonts w:ascii="仿宋_GB2312" w:hAnsi="仿宋_GB2312" w:cs="仿宋_GB2312" w:eastAsia="仿宋_GB2312"/>
                <w:sz w:val="20"/>
              </w:rPr>
              <w:t>3个专题课程。分为小学组、初中组和高中组，</w:t>
            </w:r>
            <w:r>
              <w:rPr>
                <w:rFonts w:ascii="仿宋_GB2312" w:hAnsi="仿宋_GB2312" w:cs="仿宋_GB2312" w:eastAsia="仿宋_GB2312"/>
                <w:sz w:val="20"/>
              </w:rPr>
              <w:t>各年级组设计一个专题，</w:t>
            </w:r>
            <w:r>
              <w:rPr>
                <w:rFonts w:ascii="仿宋_GB2312" w:hAnsi="仿宋_GB2312" w:cs="仿宋_GB2312" w:eastAsia="仿宋_GB2312"/>
                <w:sz w:val="20"/>
              </w:rPr>
              <w:t>每个专题为</w:t>
            </w:r>
            <w:r>
              <w:rPr>
                <w:rFonts w:ascii="仿宋_GB2312" w:hAnsi="仿宋_GB2312" w:cs="仿宋_GB2312" w:eastAsia="仿宋_GB2312"/>
                <w:sz w:val="20"/>
              </w:rPr>
              <w:t>6个课时，三个专题共18个课时。</w:t>
            </w:r>
          </w:p>
          <w:p>
            <w:pPr>
              <w:pStyle w:val="null3"/>
              <w:jc w:val="both"/>
            </w:pPr>
            <w:r>
              <w:rPr>
                <w:rFonts w:ascii="仿宋_GB2312" w:hAnsi="仿宋_GB2312" w:cs="仿宋_GB2312" w:eastAsia="仿宋_GB2312"/>
                <w:sz w:val="20"/>
              </w:rPr>
              <w:t>2.人员要求：每个专题由1名高级职称专家任组长、1名专家任组员，组长预计需用时7天完成课程主要内容设计，组员用时9天完成辅助及相关课件及讲课稿制作。</w:t>
            </w:r>
          </w:p>
          <w:p>
            <w:pPr>
              <w:pStyle w:val="null3"/>
              <w:jc w:val="both"/>
            </w:pPr>
            <w:r>
              <w:rPr>
                <w:rFonts w:ascii="仿宋_GB2312" w:hAnsi="仿宋_GB2312" w:cs="仿宋_GB2312" w:eastAsia="仿宋_GB2312"/>
                <w:sz w:val="20"/>
              </w:rPr>
              <w:t>3.内容需涵盖：</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1）知识产权基础知识：专利、商标、著作权等概念的趣味化、场景化解读。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2）创新方法与逻辑：引入设计思维等简易创新方法，培养创新意识。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3）创新检索工具应用：教授如何使用简单的专利检索平台和数据库，了解科学技术前沿动态。</w:t>
            </w:r>
          </w:p>
          <w:p>
            <w:pPr>
              <w:pStyle w:val="null3"/>
              <w:jc w:val="both"/>
            </w:pPr>
            <w:r>
              <w:rPr>
                <w:rFonts w:ascii="仿宋_GB2312" w:hAnsi="仿宋_GB2312" w:cs="仿宋_GB2312" w:eastAsia="仿宋_GB2312"/>
                <w:sz w:val="20"/>
              </w:rPr>
              <w:t>4.交付成果：各类专题包含完整的教学大纲、课件、授课稿及配套练习，包括教师用书、学生手册、多媒体课件等。</w:t>
            </w:r>
          </w:p>
          <w:p>
            <w:pPr>
              <w:pStyle w:val="null3"/>
              <w:numPr>
                <w:ilvl w:val="0"/>
                <w:numId w:val="1"/>
              </w:numPr>
              <w:jc w:val="both"/>
            </w:pPr>
            <w:r>
              <w:rPr>
                <w:rFonts w:ascii="仿宋_GB2312" w:hAnsi="仿宋_GB2312" w:cs="仿宋_GB2312" w:eastAsia="仿宋_GB2312"/>
                <w:sz w:val="20"/>
              </w:rPr>
              <w:t>知识产权创新教育师资专项培训</w:t>
            </w:r>
          </w:p>
          <w:p>
            <w:pPr>
              <w:pStyle w:val="null3"/>
              <w:jc w:val="both"/>
            </w:pPr>
            <w:r>
              <w:rPr>
                <w:rFonts w:ascii="仿宋_GB2312" w:hAnsi="仿宋_GB2312" w:cs="仿宋_GB2312" w:eastAsia="仿宋_GB2312"/>
                <w:sz w:val="20"/>
              </w:rPr>
              <w:t>培训对象主要包括中小学科学老师（尤其是基层学校的科学教师）、有志于青少年教育的知识产权从业人员、从事科学教育的社会机构人员等。</w:t>
            </w:r>
          </w:p>
          <w:p>
            <w:pPr>
              <w:pStyle w:val="null3"/>
              <w:jc w:val="both"/>
            </w:pPr>
            <w:r>
              <w:rPr>
                <w:rFonts w:ascii="仿宋_GB2312" w:hAnsi="仿宋_GB2312" w:cs="仿宋_GB2312" w:eastAsia="仿宋_GB2312"/>
                <w:sz w:val="20"/>
              </w:rPr>
              <w:t>1.参培人员要求：针对项目覆盖学校的科学、技术、美术、综合实践等科目教师，开展系统的知识产权创新教育师资培训。</w:t>
            </w:r>
          </w:p>
          <w:p>
            <w:pPr>
              <w:pStyle w:val="null3"/>
              <w:jc w:val="both"/>
            </w:pPr>
            <w:r>
              <w:rPr>
                <w:rFonts w:ascii="仿宋_GB2312" w:hAnsi="仿宋_GB2312" w:cs="仿宋_GB2312" w:eastAsia="仿宋_GB2312"/>
                <w:sz w:val="20"/>
              </w:rPr>
              <w:t>2.培养内容需包括：知识产权法律基础、创新教育方法论、课程实施指导、案例分析与实践等。培养参训人员独立开展知识产权教育的能力。</w:t>
            </w:r>
          </w:p>
          <w:p>
            <w:pPr>
              <w:pStyle w:val="null3"/>
              <w:jc w:val="both"/>
            </w:pPr>
            <w:r>
              <w:rPr>
                <w:rFonts w:ascii="仿宋_GB2312" w:hAnsi="仿宋_GB2312" w:cs="仿宋_GB2312" w:eastAsia="仿宋_GB2312"/>
                <w:sz w:val="20"/>
              </w:rPr>
              <w:t>3.培训方式以其他：主要为小班制教学，每班约50人。年度师资培训不少于10场，设置参培人员学习档案，培养合格“辅导员”超过100人次。每期培训由1名辅助人员负责答疑和沟通协调相关工作。</w:t>
            </w:r>
          </w:p>
          <w:p>
            <w:pPr>
              <w:pStyle w:val="null3"/>
              <w:jc w:val="both"/>
            </w:pPr>
            <w:r>
              <w:rPr>
                <w:rFonts w:ascii="仿宋_GB2312" w:hAnsi="仿宋_GB2312" w:cs="仿宋_GB2312" w:eastAsia="仿宋_GB2312"/>
                <w:sz w:val="20"/>
              </w:rPr>
              <w:t>4.培训师及教材要求：课程均邀请副高以上或具有相当实践经验的专家授课。教材主要包括：《知识产权创新辅导员专项培训手册》（彩印）等，每套教材100页左右（彩印）及必要的辅助书籍等。</w:t>
            </w:r>
          </w:p>
          <w:p>
            <w:pPr>
              <w:pStyle w:val="null3"/>
              <w:jc w:val="both"/>
            </w:pPr>
            <w:r>
              <w:rPr>
                <w:rFonts w:ascii="仿宋_GB2312" w:hAnsi="仿宋_GB2312" w:cs="仿宋_GB2312" w:eastAsia="仿宋_GB2312"/>
                <w:sz w:val="20"/>
              </w:rPr>
              <w:t>5.考核方式：组织考核认证，采用试讲或说课+结构化的方式进行考核，设置公平、公正的考核标准。合格者颁发专项培训证书。并建立长期性的教师交流与持续学习机制。</w:t>
            </w:r>
          </w:p>
          <w:p>
            <w:pPr>
              <w:pStyle w:val="null3"/>
              <w:jc w:val="both"/>
            </w:pPr>
            <w:r>
              <w:rPr>
                <w:rFonts w:ascii="仿宋_GB2312" w:hAnsi="仿宋_GB2312" w:cs="仿宋_GB2312" w:eastAsia="仿宋_GB2312"/>
                <w:sz w:val="20"/>
              </w:rPr>
              <w:t>6.执行要求：</w:t>
            </w:r>
          </w:p>
          <w:p>
            <w:pPr>
              <w:pStyle w:val="null3"/>
              <w:jc w:val="both"/>
            </w:pPr>
            <w:r>
              <w:rPr>
                <w:rFonts w:ascii="仿宋_GB2312" w:hAnsi="仿宋_GB2312" w:cs="仿宋_GB2312" w:eastAsia="仿宋_GB2312"/>
                <w:sz w:val="21"/>
              </w:rPr>
              <w:t>（1）年度开展10场培训（每场50人，分2批），培训总时长不少于5天（40课时）。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2）为青少年知识产权创新教育建立“知识产权</w:t>
            </w:r>
            <w:r>
              <w:rPr>
                <w:rFonts w:ascii="仿宋_GB2312" w:hAnsi="仿宋_GB2312" w:cs="仿宋_GB2312" w:eastAsia="仿宋_GB2312"/>
                <w:sz w:val="20"/>
              </w:rPr>
              <w:t>师资</w:t>
            </w:r>
            <w:r>
              <w:rPr>
                <w:rFonts w:ascii="仿宋_GB2312" w:hAnsi="仿宋_GB2312" w:cs="仿宋_GB2312" w:eastAsia="仿宋_GB2312"/>
                <w:sz w:val="20"/>
              </w:rPr>
              <w:t>库</w:t>
            </w:r>
            <w:r>
              <w:rPr>
                <w:rFonts w:ascii="仿宋_GB2312" w:hAnsi="仿宋_GB2312" w:cs="仿宋_GB2312" w:eastAsia="仿宋_GB2312"/>
                <w:sz w:val="20"/>
              </w:rPr>
              <w:t>”，为学校提供专业师资支持。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3）需提供培训计划、考核记录、学员证书及效果评估报告。</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“知识产权进校园”专项活动组织与实施</w:t>
            </w:r>
          </w:p>
          <w:p>
            <w:pPr>
              <w:pStyle w:val="null3"/>
              <w:jc w:val="both"/>
            </w:pPr>
            <w:r>
              <w:rPr>
                <w:rFonts w:ascii="仿宋_GB2312" w:hAnsi="仿宋_GB2312" w:cs="仿宋_GB2312" w:eastAsia="仿宋_GB2312"/>
                <w:sz w:val="20"/>
              </w:rPr>
              <w:t>1.活动要求：开展知识产权进校园活动应覆盖我市60%区县、20所以上中小学校，累计场次不低于30场，受益学生达到5000人（次）。</w:t>
            </w:r>
          </w:p>
          <w:p>
            <w:pPr>
              <w:pStyle w:val="null3"/>
              <w:jc w:val="both"/>
            </w:pPr>
            <w:r>
              <w:rPr>
                <w:rFonts w:ascii="仿宋_GB2312" w:hAnsi="仿宋_GB2312" w:cs="仿宋_GB2312" w:eastAsia="仿宋_GB2312"/>
                <w:sz w:val="20"/>
              </w:rPr>
              <w:t>2.活动形式：在项目学校内组织开展形式多样、内容丰富的“知识产权进校园”活动，形式可包括但不限于：</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1）专题讲座：开展“知产进校园”系列讲座，引导学生认识并尊重创意与创新的价值。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2）专利知识课堂：模拟专利申请流程，让学生体验创新保护的全过程。</w:t>
            </w:r>
          </w:p>
          <w:p>
            <w:pPr>
              <w:pStyle w:val="null3"/>
              <w:jc w:val="both"/>
            </w:pPr>
            <w:r>
              <w:rPr>
                <w:rFonts w:ascii="仿宋_GB2312" w:hAnsi="仿宋_GB2312" w:cs="仿宋_GB2312" w:eastAsia="仿宋_GB2312"/>
                <w:sz w:val="20"/>
              </w:rPr>
              <w:t>3.执行要求：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1）授课专家应具有丰富经验，知识产权从业人员优先，且适应中小学生讲授要求。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2）知识产权创新教育要充分融入中小学和职业教育的课程体系，保证授课连贯性和普及性。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3）年度完成30场活动，每场活动不得少于2小时，每场覆盖150人以上。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4）需提供活动方案、现场照片、学生反馈报告等过程性材料。</w:t>
            </w:r>
          </w:p>
          <w:p>
            <w:pPr>
              <w:pStyle w:val="null3"/>
              <w:jc w:val="both"/>
            </w:pPr>
            <w:r>
              <w:rPr>
                <w:rFonts w:ascii="仿宋_GB2312" w:hAnsi="仿宋_GB2312" w:cs="仿宋_GB2312" w:eastAsia="仿宋_GB2312"/>
                <w:sz w:val="20"/>
              </w:rPr>
              <w:t>（四）知识产权创新实践活动组织</w:t>
            </w:r>
          </w:p>
          <w:p>
            <w:pPr>
              <w:pStyle w:val="null3"/>
              <w:jc w:val="both"/>
            </w:pPr>
            <w:r>
              <w:rPr>
                <w:rFonts w:ascii="仿宋_GB2312" w:hAnsi="仿宋_GB2312" w:cs="仿宋_GB2312" w:eastAsia="仿宋_GB2312"/>
                <w:sz w:val="20"/>
              </w:rPr>
              <w:t>1.活动要求：组织学生走出校园，开展以知识产权为主题的创新实践研学活动。征集符合要求的青少年积极参与课外实践活动。</w:t>
            </w:r>
          </w:p>
          <w:p>
            <w:pPr>
              <w:pStyle w:val="null3"/>
              <w:jc w:val="both"/>
            </w:pPr>
            <w:r>
              <w:rPr>
                <w:rFonts w:ascii="仿宋_GB2312" w:hAnsi="仿宋_GB2312" w:cs="仿宋_GB2312" w:eastAsia="仿宋_GB2312"/>
                <w:sz w:val="20"/>
              </w:rPr>
              <w:t>2.活动形式：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与合作院校开设知识产权相关课程，创建面向青少年和创业者的知识产权实践基地，包含但不限于知识产权创新实验室、模拟专利申报平台等，使理论学习转化为实际能力。促进知识产权创新教育与科学教育融合贯通，共同发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2）参观高新技术企业、重点实验室、知识产权法庭、博物馆等。举办面对青少年的知识产权创新活动。扩大社会影响力，树立标杆示范。</w:t>
            </w:r>
          </w:p>
          <w:p>
            <w:pPr>
              <w:pStyle w:val="null3"/>
              <w:jc w:val="both"/>
            </w:pPr>
            <w:r>
              <w:rPr>
                <w:rFonts w:ascii="仿宋_GB2312" w:hAnsi="仿宋_GB2312" w:cs="仿宋_GB2312" w:eastAsia="仿宋_GB2312"/>
                <w:sz w:val="20"/>
              </w:rPr>
              <w:t>3.执行要求：年度开展知识产权创新实践活动不少于5场次、覆盖学生总数超500人。并对实践成果形成可量化的活动报告。</w:t>
            </w:r>
          </w:p>
          <w:p>
            <w:pPr>
              <w:pStyle w:val="null3"/>
              <w:jc w:val="both"/>
            </w:pPr>
            <w:r>
              <w:rPr>
                <w:rFonts w:ascii="仿宋_GB2312" w:hAnsi="仿宋_GB2312" w:cs="仿宋_GB2312" w:eastAsia="仿宋_GB2312"/>
                <w:sz w:val="20"/>
              </w:rPr>
              <w:t>（五）知识产权主题宣传</w:t>
            </w:r>
          </w:p>
          <w:p>
            <w:pPr>
              <w:pStyle w:val="null3"/>
              <w:jc w:val="both"/>
            </w:pPr>
            <w:r>
              <w:rPr>
                <w:rFonts w:ascii="仿宋_GB2312" w:hAnsi="仿宋_GB2312" w:cs="仿宋_GB2312" w:eastAsia="仿宋_GB2312"/>
                <w:sz w:val="20"/>
              </w:rPr>
              <w:t>1.要求：策划并执行面向青少年的知识产权主题宣传品牌活动，营造浓厚氛围。</w:t>
            </w:r>
          </w:p>
          <w:p>
            <w:pPr>
              <w:pStyle w:val="null3"/>
              <w:jc w:val="both"/>
            </w:pPr>
            <w:r>
              <w:rPr>
                <w:rFonts w:ascii="仿宋_GB2312" w:hAnsi="仿宋_GB2312" w:cs="仿宋_GB2312" w:eastAsia="仿宋_GB2312"/>
                <w:sz w:val="20"/>
              </w:rPr>
              <w:t>2.形式可包括：</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1）制作并发放知识产权主题的宣传册、海报、动画视频。设计不少于三个主题的视频。视频制作应满足面向青少年的传播要求，</w:t>
            </w:r>
            <w:r>
              <w:rPr>
                <w:rFonts w:ascii="仿宋_GB2312" w:hAnsi="仿宋_GB2312" w:cs="仿宋_GB2312" w:eastAsia="仿宋_GB2312"/>
                <w:sz w:val="20"/>
              </w:rPr>
              <w:t>形式可</w:t>
            </w:r>
            <w:r>
              <w:rPr>
                <w:rFonts w:ascii="仿宋_GB2312" w:hAnsi="仿宋_GB2312" w:cs="仿宋_GB2312" w:eastAsia="仿宋_GB2312"/>
                <w:sz w:val="20"/>
              </w:rPr>
              <w:t>生动有趣。视频主题可包括知识产权的专利、商标、版权、商业秘密、知识产权与创新等方向。每个视频总长度预计</w:t>
            </w:r>
            <w:r>
              <w:rPr>
                <w:rFonts w:ascii="仿宋_GB2312" w:hAnsi="仿宋_GB2312" w:cs="仿宋_GB2312" w:eastAsia="仿宋_GB2312"/>
                <w:sz w:val="20"/>
              </w:rPr>
              <w:t>7分钟。三个视频时间总长不得低于21分钟。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2）结合4·26世界知识产权日等关键节点，举办主题宣传活动。活动应充分利用微信公众号、短视频平台等新媒体进行科普宣传，提高公众关注度。</w:t>
            </w:r>
          </w:p>
          <w:p>
            <w:pPr>
              <w:pStyle w:val="null3"/>
              <w:jc w:val="both"/>
            </w:pPr>
            <w:r>
              <w:rPr>
                <w:rFonts w:ascii="仿宋_GB2312" w:hAnsi="仿宋_GB2312" w:cs="仿宋_GB2312" w:eastAsia="仿宋_GB2312"/>
                <w:sz w:val="20"/>
              </w:rPr>
              <w:t>执行要求：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线上：组织面向青少年的知识产权相关宣传，以拍摄短视频、短剧和活动宣传等多种方式，通过政府网站、西安发布、合作学校网站和自媒体等多种渠道，积极宣传和传播知识产权相关知识，达到社会性普及目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2）线下：</w:t>
            </w:r>
            <w:r>
              <w:rPr>
                <w:rFonts w:ascii="仿宋_GB2312" w:hAnsi="仿宋_GB2312" w:cs="仿宋_GB2312" w:eastAsia="仿宋_GB2312"/>
                <w:sz w:val="20"/>
              </w:rPr>
              <w:t>结合各项活动时间节点，围绕不同主题开展宣传活动</w:t>
            </w:r>
            <w:r>
              <w:rPr>
                <w:rFonts w:ascii="仿宋_GB2312" w:hAnsi="仿宋_GB2312" w:cs="仿宋_GB2312" w:eastAsia="仿宋_GB2312"/>
                <w:sz w:val="20"/>
              </w:rPr>
              <w:t>，并形成完整的活动方案、成果集和影响力报告。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项目团队核心成员应包含教育学专家、知识产权领域专家（如专利代理师、律师）、活动策划专家等。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符合采购文件、响应文件和合同文件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符合采购文件、响应文件和合同文件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2.供应商需要在线提交所有通过电子化交易平台实施的政府采购项目的投标文件，同时，中标供应商须在发布中标公告后线下提交投标文件正本壹份、副本贰份。 线下提交投标文件地点：西安市高新区唐延路旺座现代城 C 座 25 楼 2502室 ；联系电话：029-88319689转8007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报价表 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01分项报价表.docx 13.供应商承诺书.docx 02供应商资格证明资料.docx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14.供应商认为其他有必要说明的其他问题.docx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针对本项目提出适用于本项目的需求响应方案，包括：①项目理解②需求分析及响应③项目重难点分析④服务承诺 二、评审标准 1、完整性：方案必须全面，对评审内容中的各项要求有详细描述； 2、针对性：方案能够紧扣项目实际情况，内容科学合理。 三、赋分标准（满分8分） 每完全满足一个评审标准得 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4.需求响应.docx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针对本项目提出适用于本项目的服务方案，包括：①整体服务方案②教育课程体系开发③师资专项培训④活动前、中、后阶段计划。 二、评审标准 1、整体服务方案的全面性：方案必须系统、完整地涵盖项目目标所需的所有关键环节；2、课程开发的针对性：课程内容与教学方法的设计必须紧密贴合服务对象的年龄特征、认知水平、文化背景与学习需求，要与项目的具体应用场景高度相关；3、师资专项培训的可操作性：依据项目提出的目标、任务与计划要现实可行，配备清晰的方案，工作分解结构清晰，关键节点明确；4、活动的系统完整：各项目方案要系统考虑活动全周期的所有关键阶段。 三、赋分标准（满分24分）每完全满足一个评审标准得 1.5分，每个小项满分6分；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 二、评审标准 1、完整性：管理措施必须全面，对评审内容中的管理要求有详细描述； 2、可实施性：切合本项目中管理对象实际情况，提出步骤清晰、合理的管理方案； 3、针对性：方案能够紧扣项目进度的实际情况，提出科学合理的管理措施。 三、赋分标准（满分6分）每完全满足一个评审标准得 1分，每个小项满分3分；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6.相关管理措施.docx</w:t>
            </w:r>
          </w:p>
        </w:tc>
      </w:tr>
      <w:tr>
        <w:tc>
          <w:tcPr>
            <w:tcW w:type="dxa" w:w="831"/>
            <w:vMerge/>
          </w:tcPr>
          <w:p/>
        </w:tc>
        <w:tc>
          <w:tcPr>
            <w:tcW w:type="dxa" w:w="1661"/>
          </w:tcPr>
          <w:p>
            <w:pPr>
              <w:pStyle w:val="null3"/>
            </w:pPr>
            <w:r>
              <w:rPr>
                <w:rFonts w:ascii="仿宋_GB2312" w:hAnsi="仿宋_GB2312" w:cs="仿宋_GB2312" w:eastAsia="仿宋_GB2312"/>
              </w:rPr>
              <w:t>活动组织安全保障及应急方案</w:t>
            </w:r>
          </w:p>
        </w:tc>
        <w:tc>
          <w:tcPr>
            <w:tcW w:type="dxa" w:w="2492"/>
          </w:tcPr>
          <w:p>
            <w:pPr>
              <w:pStyle w:val="null3"/>
            </w:pPr>
            <w:r>
              <w:rPr>
                <w:rFonts w:ascii="仿宋_GB2312" w:hAnsi="仿宋_GB2312" w:cs="仿宋_GB2312" w:eastAsia="仿宋_GB2312"/>
              </w:rPr>
              <w:t>一、评审内容 针对本项目有详细的活动组织安全保障及应急方案，方案内容包括①综合安全保障方案②专项应急措施方案③消防与公共卫生方案④组织管理与责任监督方案等内容。 二、评审标准：1、对不同活动必须有全面性与针对性的风险识别，有周密的预防措施；2、应急预案的覆盖要有广度与针对性，响应流程必须要有高效性；3、消防与公共卫生方案要确认活动场地消防设施合规有效，要有常态化的预防措施；4、组织管理与责任监督方案要有清晰的组织架构与责任体系，明确管理措施及责任；5、方案中应包含对各项安全措施落实情况的行前检查、过程监督和事后总结机制。 三、赋分标准（满分10分）每完全满足一个评审标准得 0.5分，每个小项满分2.5分；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7.活动组织安全保障及应急方案.docx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一、评审内容 针对本项目有详细的进度计划及保障措施，内容包括①进度计划管理方案②资源与后勤保障方案③质量与风险控制方案 三、评审标准：1、完整性与逻辑性：项目各层级计划要衔接紧密，逻辑关系明确，并为每个节点设定明确的交付成果和检查验收标准；2、精准性：要有明确的物资和后勤清单，项目明细要精确，管理流程清晰；3、风险控制针对性与有效性：要有质量把控与成效评估机制，设定清晰的活动质量目标，有制定制定贯穿活动前、中、后的质量检查点和成效评估方法。针对可能出现的风险制定具体的预防措施和应急方案，预案具有针对性，可操作性强； 三、赋分标准（满分9分）每完全满足一个评审标准得 1分，每个小项满分3分；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8.进度计划及保障措施.docx</w:t>
            </w:r>
          </w:p>
        </w:tc>
      </w:tr>
      <w:tr>
        <w:tc>
          <w:tcPr>
            <w:tcW w:type="dxa" w:w="831"/>
            <w:vMerge/>
          </w:tcPr>
          <w:p/>
        </w:tc>
        <w:tc>
          <w:tcPr>
            <w:tcW w:type="dxa" w:w="1661"/>
          </w:tcPr>
          <w:p>
            <w:pPr>
              <w:pStyle w:val="null3"/>
            </w:pPr>
            <w:r>
              <w:rPr>
                <w:rFonts w:ascii="仿宋_GB2312" w:hAnsi="仿宋_GB2312" w:cs="仿宋_GB2312" w:eastAsia="仿宋_GB2312"/>
              </w:rPr>
              <w:t>宣传策划方案</w:t>
            </w:r>
          </w:p>
        </w:tc>
        <w:tc>
          <w:tcPr>
            <w:tcW w:type="dxa" w:w="2492"/>
          </w:tcPr>
          <w:p>
            <w:pPr>
              <w:pStyle w:val="null3"/>
            </w:pPr>
            <w:r>
              <w:rPr>
                <w:rFonts w:ascii="仿宋_GB2312" w:hAnsi="仿宋_GB2312" w:cs="仿宋_GB2312" w:eastAsia="仿宋_GB2312"/>
              </w:rPr>
              <w:t>一．评审内容 针对本项目有详细、合理、可行的宣传策划方案，包括①宣传方式②宣传物料③宣传平台。 三、评审标准：1完整性：宣传方案必须全面，对评审内容中的各项要求有详细描述； 2、可实施性：切合本项目实际情况，提出步骤清晰、合理的宣传方案； 3、针对性：宣传方案能够紧扣项目实际情况，内容科学合理。 三、赋分标准（满分9分）每完全满足一个评审标准得 1分，每个小项满分3分；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9.宣传策划方案.docx</w:t>
            </w:r>
          </w:p>
        </w:tc>
      </w:tr>
      <w:tr>
        <w:tc>
          <w:tcPr>
            <w:tcW w:type="dxa" w:w="831"/>
            <w:vMerge/>
          </w:tcPr>
          <w:p/>
        </w:tc>
        <w:tc>
          <w:tcPr>
            <w:tcW w:type="dxa" w:w="1661"/>
          </w:tcPr>
          <w:p>
            <w:pPr>
              <w:pStyle w:val="null3"/>
            </w:pPr>
            <w:r>
              <w:rPr>
                <w:rFonts w:ascii="仿宋_GB2312" w:hAnsi="仿宋_GB2312" w:cs="仿宋_GB2312" w:eastAsia="仿宋_GB2312"/>
              </w:rPr>
              <w:t>合理化建议及知识产权承诺</w:t>
            </w:r>
          </w:p>
        </w:tc>
        <w:tc>
          <w:tcPr>
            <w:tcW w:type="dxa" w:w="2492"/>
          </w:tcPr>
          <w:p>
            <w:pPr>
              <w:pStyle w:val="null3"/>
            </w:pPr>
            <w:r>
              <w:rPr>
                <w:rFonts w:ascii="仿宋_GB2312" w:hAnsi="仿宋_GB2312" w:cs="仿宋_GB2312" w:eastAsia="仿宋_GB2312"/>
              </w:rPr>
              <w:t>1.针对本项目服务工作中的常见问题进行梳理，具有良好的解决方案并向采购人提出合理化建议，每提供一条有效的建议得1分，满分2分。未提供不得分。 2.供应商须承诺所有项目实施过程中涉及的图文、影像作品不得抄袭。如作品中含有的非原创性的内容，包括画面、图文、视频等元素，必须确保无知识产权争议。如有任何侵权行为均由供应商承担相应责任和赔偿。 响应文件中提供以上内容的承诺书得2分，未提供不得分。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10.合理化建议及知识产权承诺.docx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1、项目负责人（满分5分） 项目负责人具备教育学专家、知识产权领域专家（如专利代理师、律师）活动策划专家等专业技术资格的提供相关资质证书计2分。拥有知识产权相关服务经验每提供一项证明资料得1分，最高得3分；未提供不得分。 2、项目团队成员（满分5分） 项目团队成员包含以下专业人员①教育学专家②知识产权领域专家（如专利代理师、律师）③活动策划专家等（提供成员的简历及相关资质证明）成员中每具备一项相关专业计1分；同一人员不重复计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11.团队配置.docx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供应商提供2022年1月至今（以合同签订时间为准）的同类型业绩，每提供一个计2分，满分10分。（须在响应文件中提供合同的复印件加盖公章，否则不计分。）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详见附件：4.需求响应.docx</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详见附件：6.相关管理措施.docx</w:t>
      </w:r>
    </w:p>
    <w:p>
      <w:pPr>
        <w:pStyle w:val="null3"/>
        <w:ind w:firstLine="960"/>
      </w:pPr>
      <w:r>
        <w:rPr>
          <w:rFonts w:ascii="仿宋_GB2312" w:hAnsi="仿宋_GB2312" w:cs="仿宋_GB2312" w:eastAsia="仿宋_GB2312"/>
        </w:rPr>
        <w:t>详见附件：7.活动组织安全保障及应急方案.docx</w:t>
      </w:r>
    </w:p>
    <w:p>
      <w:pPr>
        <w:pStyle w:val="null3"/>
        <w:ind w:firstLine="960"/>
      </w:pPr>
      <w:r>
        <w:rPr>
          <w:rFonts w:ascii="仿宋_GB2312" w:hAnsi="仿宋_GB2312" w:cs="仿宋_GB2312" w:eastAsia="仿宋_GB2312"/>
        </w:rPr>
        <w:t>详见附件：8.进度计划及保障措施.docx</w:t>
      </w:r>
    </w:p>
    <w:p>
      <w:pPr>
        <w:pStyle w:val="null3"/>
        <w:ind w:firstLine="960"/>
      </w:pPr>
      <w:r>
        <w:rPr>
          <w:rFonts w:ascii="仿宋_GB2312" w:hAnsi="仿宋_GB2312" w:cs="仿宋_GB2312" w:eastAsia="仿宋_GB2312"/>
        </w:rPr>
        <w:t>详见附件：9.宣传策划方案.docx</w:t>
      </w:r>
    </w:p>
    <w:p>
      <w:pPr>
        <w:pStyle w:val="null3"/>
        <w:ind w:firstLine="960"/>
      </w:pPr>
      <w:r>
        <w:rPr>
          <w:rFonts w:ascii="仿宋_GB2312" w:hAnsi="仿宋_GB2312" w:cs="仿宋_GB2312" w:eastAsia="仿宋_GB2312"/>
        </w:rPr>
        <w:t>详见附件：10.合理化建议及知识产权承诺.docx</w:t>
      </w:r>
    </w:p>
    <w:p>
      <w:pPr>
        <w:pStyle w:val="null3"/>
        <w:ind w:firstLine="960"/>
      </w:pPr>
      <w:r>
        <w:rPr>
          <w:rFonts w:ascii="仿宋_GB2312" w:hAnsi="仿宋_GB2312" w:cs="仿宋_GB2312" w:eastAsia="仿宋_GB2312"/>
        </w:rPr>
        <w:t>详见附件：11.团队配置.docx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详见附件：13.供应商承诺书.docx</w:t>
      </w:r>
    </w:p>
    <w:p>
      <w:pPr>
        <w:pStyle w:val="null3"/>
        <w:ind w:firstLine="960"/>
      </w:pPr>
      <w:r>
        <w:rPr>
          <w:rFonts w:ascii="仿宋_GB2312" w:hAnsi="仿宋_GB2312" w:cs="仿宋_GB2312" w:eastAsia="仿宋_GB2312"/>
        </w:rPr>
        <w:t>详见附件：14.供应商认为其他有必要说明的其他问题.docx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