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AE08A4">
      <w:pPr>
        <w:pStyle w:val="6"/>
        <w:keepLines w:val="0"/>
        <w:pageBreakBefore w:val="0"/>
        <w:kinsoku/>
        <w:wordWrap/>
        <w:overflowPunct/>
        <w:topLinePunct w:val="0"/>
        <w:bidi w:val="0"/>
        <w:spacing w:line="360" w:lineRule="auto"/>
        <w:jc w:val="center"/>
        <w:outlineLvl w:val="1"/>
        <w:rPr>
          <w:color w:val="auto"/>
          <w:highlight w:val="none"/>
        </w:rPr>
      </w:pPr>
      <w:r>
        <w:rPr>
          <w:b/>
          <w:color w:val="auto"/>
          <w:sz w:val="36"/>
          <w:highlight w:val="none"/>
        </w:rPr>
        <w:t>拟签订采购合同文本</w:t>
      </w:r>
    </w:p>
    <w:tbl>
      <w:tblPr>
        <w:tblStyle w:val="4"/>
        <w:tblpPr w:leftFromText="180" w:rightFromText="180" w:vertAnchor="text" w:horzAnchor="margin" w:tblpY="38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tblGrid>
      <w:tr w14:paraId="5D61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951" w:type="dxa"/>
          </w:tcPr>
          <w:p w14:paraId="411BAA4E">
            <w:pPr>
              <w:pageBreakBefore w:val="0"/>
              <w:kinsoku/>
              <w:overflowPunct/>
              <w:bidi w:val="0"/>
              <w:spacing w:line="360" w:lineRule="auto"/>
              <w:rPr>
                <w:color w:val="auto"/>
                <w:sz w:val="30"/>
                <w:szCs w:val="30"/>
                <w:highlight w:val="none"/>
              </w:rPr>
            </w:pPr>
            <w:r>
              <w:rPr>
                <w:rFonts w:hint="eastAsia" w:ascii="黑体" w:eastAsia="黑体"/>
                <w:b/>
                <w:color w:val="auto"/>
                <w:sz w:val="32"/>
                <w:szCs w:val="32"/>
                <w:highlight w:val="none"/>
              </w:rPr>
              <w:t>院内/院外</w:t>
            </w:r>
          </w:p>
        </w:tc>
      </w:tr>
    </w:tbl>
    <w:p w14:paraId="78D6AA77">
      <w:pPr>
        <w:pageBreakBefore w:val="0"/>
        <w:tabs>
          <w:tab w:val="left" w:pos="9030"/>
        </w:tabs>
        <w:kinsoku/>
        <w:overflowPunct/>
        <w:bidi w:val="0"/>
        <w:snapToGrid w:val="0"/>
        <w:spacing w:line="360" w:lineRule="auto"/>
        <w:ind w:right="-65"/>
        <w:rPr>
          <w:color w:val="auto"/>
          <w:sz w:val="36"/>
          <w:szCs w:val="36"/>
          <w:highlight w:val="none"/>
        </w:rPr>
      </w:pPr>
    </w:p>
    <w:p w14:paraId="5E568BE4">
      <w:pPr>
        <w:pageBreakBefore w:val="0"/>
        <w:tabs>
          <w:tab w:val="left" w:pos="9030"/>
        </w:tabs>
        <w:kinsoku/>
        <w:overflowPunct/>
        <w:bidi w:val="0"/>
        <w:snapToGrid w:val="0"/>
        <w:spacing w:line="360" w:lineRule="auto"/>
        <w:ind w:right="-65"/>
        <w:rPr>
          <w:color w:val="auto"/>
          <w:sz w:val="36"/>
          <w:szCs w:val="36"/>
          <w:highlight w:val="none"/>
        </w:rPr>
      </w:pPr>
      <w:r>
        <w:rPr>
          <w:color w:val="auto"/>
          <w:highlight w:val="none"/>
        </w:rPr>
        <w:drawing>
          <wp:anchor distT="0" distB="0" distL="114300" distR="114300" simplePos="0" relativeHeight="251659264" behindDoc="1" locked="0" layoutInCell="1" allowOverlap="1">
            <wp:simplePos x="0" y="0"/>
            <wp:positionH relativeFrom="column">
              <wp:posOffset>2348865</wp:posOffset>
            </wp:positionH>
            <wp:positionV relativeFrom="paragraph">
              <wp:posOffset>-448945</wp:posOffset>
            </wp:positionV>
            <wp:extent cx="2312035" cy="746760"/>
            <wp:effectExtent l="0" t="0" r="12065" b="15240"/>
            <wp:wrapNone/>
            <wp:docPr id="2" name="图片 2" descr="logo（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2022"/>
                    <pic:cNvPicPr>
                      <a:picLocks noChangeAspect="1"/>
                    </pic:cNvPicPr>
                  </pic:nvPicPr>
                  <pic:blipFill>
                    <a:blip r:embed="rId5"/>
                    <a:stretch>
                      <a:fillRect/>
                    </a:stretch>
                  </pic:blipFill>
                  <pic:spPr>
                    <a:xfrm>
                      <a:off x="0" y="0"/>
                      <a:ext cx="2312035" cy="746760"/>
                    </a:xfrm>
                    <a:prstGeom prst="rect">
                      <a:avLst/>
                    </a:prstGeom>
                    <a:noFill/>
                    <a:ln>
                      <a:noFill/>
                    </a:ln>
                  </pic:spPr>
                </pic:pic>
              </a:graphicData>
            </a:graphic>
          </wp:anchor>
        </w:drawing>
      </w:r>
    </w:p>
    <w:p w14:paraId="3941A2FD">
      <w:pPr>
        <w:pageBreakBefore w:val="0"/>
        <w:tabs>
          <w:tab w:val="left" w:pos="9030"/>
        </w:tabs>
        <w:kinsoku/>
        <w:overflowPunct/>
        <w:bidi w:val="0"/>
        <w:snapToGrid w:val="0"/>
        <w:spacing w:line="360" w:lineRule="auto"/>
        <w:ind w:right="-65"/>
        <w:rPr>
          <w:color w:val="auto"/>
          <w:sz w:val="36"/>
          <w:szCs w:val="36"/>
          <w:highlight w:val="none"/>
        </w:rPr>
      </w:pPr>
    </w:p>
    <w:p w14:paraId="261692BD">
      <w:pPr>
        <w:pageBreakBefore w:val="0"/>
        <w:kinsoku/>
        <w:overflowPunct/>
        <w:bidi w:val="0"/>
        <w:spacing w:line="360" w:lineRule="auto"/>
        <w:rPr>
          <w:rFonts w:ascii="黑体" w:eastAsia="黑体"/>
          <w:b/>
          <w:color w:val="auto"/>
          <w:sz w:val="32"/>
          <w:szCs w:val="32"/>
          <w:highlight w:val="none"/>
        </w:rPr>
      </w:pPr>
      <w:r>
        <w:rPr>
          <w:rFonts w:hint="eastAsia" w:ascii="黑体" w:eastAsia="黑体"/>
          <w:b/>
          <w:color w:val="auto"/>
          <w:sz w:val="32"/>
          <w:szCs w:val="32"/>
          <w:highlight w:val="none"/>
        </w:rPr>
        <w:t xml:space="preserve">合同编号： </w:t>
      </w:r>
    </w:p>
    <w:p w14:paraId="4B08136F">
      <w:pPr>
        <w:pStyle w:val="2"/>
        <w:pageBreakBefore w:val="0"/>
        <w:kinsoku/>
        <w:overflowPunct/>
        <w:bidi w:val="0"/>
        <w:spacing w:line="360" w:lineRule="auto"/>
        <w:rPr>
          <w:color w:val="auto"/>
          <w:highlight w:val="none"/>
        </w:rPr>
      </w:pPr>
    </w:p>
    <w:p w14:paraId="0FDE5AB3">
      <w:pPr>
        <w:pStyle w:val="2"/>
        <w:pageBreakBefore w:val="0"/>
        <w:kinsoku/>
        <w:overflowPunct/>
        <w:bidi w:val="0"/>
        <w:spacing w:line="360" w:lineRule="auto"/>
        <w:rPr>
          <w:color w:val="auto"/>
          <w:highlight w:val="none"/>
        </w:rPr>
      </w:pPr>
    </w:p>
    <w:p w14:paraId="604A428B">
      <w:pPr>
        <w:pStyle w:val="2"/>
        <w:pageBreakBefore w:val="0"/>
        <w:kinsoku/>
        <w:overflowPunct/>
        <w:bidi w:val="0"/>
        <w:spacing w:line="360" w:lineRule="auto"/>
        <w:rPr>
          <w:color w:val="auto"/>
          <w:highlight w:val="none"/>
        </w:rPr>
      </w:pPr>
    </w:p>
    <w:p w14:paraId="1BE7AD35">
      <w:pPr>
        <w:pageBreakBefore w:val="0"/>
        <w:kinsoku/>
        <w:overflowPunct/>
        <w:bidi w:val="0"/>
        <w:spacing w:line="360" w:lineRule="auto"/>
        <w:jc w:val="center"/>
        <w:rPr>
          <w:rFonts w:ascii="黑体" w:eastAsia="黑体"/>
          <w:color w:val="auto"/>
          <w:sz w:val="36"/>
          <w:szCs w:val="36"/>
          <w:highlight w:val="none"/>
        </w:rPr>
      </w:pPr>
      <w:r>
        <w:rPr>
          <w:rFonts w:hint="eastAsia" w:ascii="宋体" w:hAnsi="宋体"/>
          <w:b/>
          <w:snapToGrid w:val="0"/>
          <w:color w:val="auto"/>
          <w:sz w:val="36"/>
          <w:szCs w:val="36"/>
          <w:highlight w:val="none"/>
        </w:rPr>
        <w:t>西安市第五医院</w:t>
      </w:r>
    </w:p>
    <w:p w14:paraId="21EC9483">
      <w:pPr>
        <w:pageBreakBefore w:val="0"/>
        <w:kinsoku/>
        <w:overflowPunct/>
        <w:bidi w:val="0"/>
        <w:spacing w:line="360" w:lineRule="auto"/>
        <w:rPr>
          <w:rFonts w:hint="eastAsia" w:ascii="宋体" w:hAnsi="宋体"/>
          <w:b/>
          <w:snapToGrid w:val="0"/>
          <w:color w:val="auto"/>
          <w:sz w:val="40"/>
          <w:szCs w:val="48"/>
          <w:highlight w:val="none"/>
        </w:rPr>
      </w:pPr>
    </w:p>
    <w:p w14:paraId="0C0A194B">
      <w:pPr>
        <w:pStyle w:val="2"/>
        <w:pageBreakBefore w:val="0"/>
        <w:kinsoku/>
        <w:overflowPunct/>
        <w:bidi w:val="0"/>
        <w:spacing w:line="360" w:lineRule="auto"/>
        <w:rPr>
          <w:color w:val="auto"/>
          <w:highlight w:val="none"/>
        </w:rPr>
      </w:pPr>
    </w:p>
    <w:p w14:paraId="7A791275">
      <w:pPr>
        <w:pageBreakBefore w:val="0"/>
        <w:kinsoku/>
        <w:overflowPunct/>
        <w:bidi w:val="0"/>
        <w:spacing w:line="360" w:lineRule="auto"/>
        <w:jc w:val="center"/>
        <w:rPr>
          <w:rFonts w:hint="eastAsia" w:ascii="宋体" w:hAnsi="宋体"/>
          <w:b/>
          <w:snapToGrid w:val="0"/>
          <w:color w:val="auto"/>
          <w:sz w:val="32"/>
          <w:szCs w:val="32"/>
          <w:highlight w:val="none"/>
        </w:rPr>
      </w:pPr>
      <w:r>
        <w:rPr>
          <w:rFonts w:hint="eastAsia" w:ascii="宋体" w:hAnsi="宋体"/>
          <w:b/>
          <w:snapToGrid w:val="0"/>
          <w:color w:val="auto"/>
          <w:sz w:val="40"/>
          <w:szCs w:val="48"/>
          <w:highlight w:val="none"/>
        </w:rPr>
        <w:t xml:space="preserve"> </w:t>
      </w:r>
      <w:r>
        <w:rPr>
          <w:rFonts w:hint="eastAsia" w:ascii="宋体" w:hAnsi="宋体"/>
          <w:b/>
          <w:snapToGrid w:val="0"/>
          <w:color w:val="auto"/>
          <w:sz w:val="32"/>
          <w:szCs w:val="32"/>
          <w:highlight w:val="none"/>
        </w:rPr>
        <w:t>（项目名称:医疗垃圾清运）</w:t>
      </w:r>
    </w:p>
    <w:p w14:paraId="11C605E6">
      <w:pPr>
        <w:pageBreakBefore w:val="0"/>
        <w:kinsoku/>
        <w:overflowPunct/>
        <w:bidi w:val="0"/>
        <w:spacing w:line="360" w:lineRule="auto"/>
        <w:rPr>
          <w:rFonts w:hint="eastAsia" w:ascii="宋体" w:hAnsi="宋体"/>
          <w:b/>
          <w:snapToGrid w:val="0"/>
          <w:color w:val="auto"/>
          <w:sz w:val="48"/>
          <w:szCs w:val="48"/>
          <w:highlight w:val="none"/>
        </w:rPr>
      </w:pPr>
    </w:p>
    <w:p w14:paraId="74DCF18A">
      <w:pPr>
        <w:pStyle w:val="2"/>
        <w:pageBreakBefore w:val="0"/>
        <w:kinsoku/>
        <w:overflowPunct/>
        <w:bidi w:val="0"/>
        <w:spacing w:line="360" w:lineRule="auto"/>
        <w:rPr>
          <w:color w:val="auto"/>
          <w:highlight w:val="none"/>
        </w:rPr>
      </w:pPr>
    </w:p>
    <w:p w14:paraId="5B2B22AF">
      <w:pPr>
        <w:pStyle w:val="2"/>
        <w:pageBreakBefore w:val="0"/>
        <w:kinsoku/>
        <w:overflowPunct/>
        <w:bidi w:val="0"/>
        <w:spacing w:line="360" w:lineRule="auto"/>
        <w:rPr>
          <w:color w:val="auto"/>
          <w:highlight w:val="none"/>
        </w:rPr>
      </w:pPr>
    </w:p>
    <w:p w14:paraId="20DE6E9D">
      <w:pPr>
        <w:pageBreakBefore w:val="0"/>
        <w:kinsoku/>
        <w:overflowPunct/>
        <w:bidi w:val="0"/>
        <w:spacing w:line="360" w:lineRule="auto"/>
        <w:jc w:val="center"/>
        <w:rPr>
          <w:rFonts w:ascii="黑体" w:eastAsia="黑体"/>
          <w:b/>
          <w:color w:val="auto"/>
          <w:sz w:val="72"/>
          <w:szCs w:val="72"/>
          <w:highlight w:val="none"/>
        </w:rPr>
      </w:pPr>
      <w:r>
        <w:rPr>
          <w:rFonts w:hint="eastAsia" w:ascii="黑体" w:eastAsia="黑体"/>
          <w:b/>
          <w:color w:val="auto"/>
          <w:sz w:val="32"/>
          <w:szCs w:val="32"/>
          <w:highlight w:val="none"/>
        </w:rPr>
        <w:t>服 务 合 同</w:t>
      </w:r>
    </w:p>
    <w:p w14:paraId="10464B1D">
      <w:pPr>
        <w:pageBreakBefore w:val="0"/>
        <w:kinsoku/>
        <w:overflowPunct/>
        <w:bidi w:val="0"/>
        <w:spacing w:line="360" w:lineRule="auto"/>
        <w:jc w:val="center"/>
        <w:rPr>
          <w:rFonts w:hint="eastAsia" w:ascii="宋体" w:hAnsi="宋体"/>
          <w:b/>
          <w:snapToGrid w:val="0"/>
          <w:color w:val="auto"/>
          <w:sz w:val="28"/>
          <w:szCs w:val="28"/>
          <w:highlight w:val="none"/>
        </w:rPr>
      </w:pPr>
      <w:r>
        <w:rPr>
          <w:rFonts w:hint="eastAsia" w:ascii="宋体" w:hAnsi="宋体"/>
          <w:b/>
          <w:snapToGrid w:val="0"/>
          <w:color w:val="auto"/>
          <w:sz w:val="28"/>
          <w:szCs w:val="28"/>
          <w:highlight w:val="none"/>
        </w:rPr>
        <w:t>（项目编号:          ）</w:t>
      </w:r>
    </w:p>
    <w:p w14:paraId="73BC5559">
      <w:pPr>
        <w:pageBreakBefore w:val="0"/>
        <w:tabs>
          <w:tab w:val="center" w:pos="4153"/>
          <w:tab w:val="right" w:pos="8306"/>
        </w:tabs>
        <w:kinsoku/>
        <w:overflowPunct/>
        <w:bidi w:val="0"/>
        <w:snapToGrid w:val="0"/>
        <w:spacing w:line="360" w:lineRule="auto"/>
        <w:jc w:val="left"/>
        <w:rPr>
          <w:color w:val="auto"/>
          <w:sz w:val="32"/>
          <w:szCs w:val="32"/>
          <w:highlight w:val="none"/>
        </w:rPr>
      </w:pPr>
    </w:p>
    <w:p w14:paraId="721146A3">
      <w:pPr>
        <w:pStyle w:val="2"/>
        <w:pageBreakBefore w:val="0"/>
        <w:kinsoku/>
        <w:overflowPunct/>
        <w:bidi w:val="0"/>
        <w:spacing w:line="360" w:lineRule="auto"/>
        <w:rPr>
          <w:color w:val="auto"/>
          <w:sz w:val="32"/>
          <w:szCs w:val="32"/>
          <w:highlight w:val="none"/>
        </w:rPr>
      </w:pPr>
    </w:p>
    <w:p w14:paraId="1BCFDA12">
      <w:pPr>
        <w:pageBreakBefore w:val="0"/>
        <w:kinsoku/>
        <w:overflowPunct/>
        <w:bidi w:val="0"/>
        <w:spacing w:line="360" w:lineRule="auto"/>
        <w:ind w:firstLine="2240" w:firstLineChars="800"/>
        <w:jc w:val="left"/>
        <w:rPr>
          <w:rFonts w:ascii="黑体" w:eastAsia="黑体"/>
          <w:color w:val="auto"/>
          <w:sz w:val="28"/>
          <w:szCs w:val="28"/>
          <w:highlight w:val="none"/>
        </w:rPr>
      </w:pPr>
      <w:r>
        <w:rPr>
          <w:rFonts w:hint="eastAsia" w:ascii="黑体" w:eastAsia="黑体"/>
          <w:color w:val="auto"/>
          <w:sz w:val="28"/>
          <w:szCs w:val="28"/>
          <w:highlight w:val="none"/>
        </w:rPr>
        <w:t>甲  方：</w:t>
      </w:r>
    </w:p>
    <w:p w14:paraId="0FEDABF3">
      <w:pPr>
        <w:pageBreakBefore w:val="0"/>
        <w:kinsoku/>
        <w:overflowPunct/>
        <w:bidi w:val="0"/>
        <w:spacing w:line="360" w:lineRule="auto"/>
        <w:ind w:firstLine="2240" w:firstLineChars="800"/>
        <w:jc w:val="left"/>
        <w:rPr>
          <w:rFonts w:ascii="黑体" w:eastAsia="黑体"/>
          <w:color w:val="auto"/>
          <w:sz w:val="28"/>
          <w:szCs w:val="28"/>
          <w:highlight w:val="none"/>
        </w:rPr>
      </w:pPr>
      <w:r>
        <w:rPr>
          <w:rFonts w:hint="eastAsia" w:ascii="黑体" w:hAnsi="黑体" w:eastAsia="黑体"/>
          <w:color w:val="auto"/>
          <w:sz w:val="28"/>
          <w:szCs w:val="28"/>
          <w:highlight w:val="none"/>
        </w:rPr>
        <w:t>乙  方：</w:t>
      </w:r>
    </w:p>
    <w:p w14:paraId="54C1E2EE">
      <w:pPr>
        <w:pStyle w:val="3"/>
        <w:pageBreakBefore w:val="0"/>
        <w:kinsoku/>
        <w:overflowPunct/>
        <w:bidi w:val="0"/>
        <w:spacing w:line="360" w:lineRule="auto"/>
        <w:rPr>
          <w:color w:val="auto"/>
          <w:highlight w:val="none"/>
        </w:rPr>
      </w:pPr>
    </w:p>
    <w:p w14:paraId="2D2BA99E">
      <w:pPr>
        <w:pStyle w:val="3"/>
        <w:pageBreakBefore w:val="0"/>
        <w:kinsoku/>
        <w:overflowPunct/>
        <w:bidi w:val="0"/>
        <w:spacing w:line="360" w:lineRule="auto"/>
        <w:rPr>
          <w:color w:val="auto"/>
          <w:highlight w:val="none"/>
        </w:rPr>
      </w:pPr>
    </w:p>
    <w:p w14:paraId="7F16CE1D">
      <w:pPr>
        <w:pageBreakBefore w:val="0"/>
        <w:kinsoku/>
        <w:overflowPunct/>
        <w:bidi w:val="0"/>
        <w:spacing w:line="360" w:lineRule="auto"/>
        <w:jc w:val="center"/>
        <w:rPr>
          <w:rFonts w:ascii="黑体" w:eastAsia="黑体"/>
          <w:color w:val="auto"/>
          <w:sz w:val="28"/>
          <w:szCs w:val="28"/>
          <w:highlight w:val="none"/>
        </w:rPr>
      </w:pPr>
      <w:r>
        <w:rPr>
          <w:rFonts w:hint="eastAsia" w:ascii="黑体" w:eastAsia="黑体"/>
          <w:color w:val="auto"/>
          <w:sz w:val="28"/>
          <w:szCs w:val="28"/>
          <w:highlight w:val="none"/>
        </w:rPr>
        <w:t>年   月</w:t>
      </w:r>
    </w:p>
    <w:p w14:paraId="28EE25D3">
      <w:pPr>
        <w:pageBreakBefore w:val="0"/>
        <w:kinsoku/>
        <w:overflowPunct/>
        <w:bidi w:val="0"/>
        <w:spacing w:line="360" w:lineRule="auto"/>
        <w:jc w:val="center"/>
        <w:rPr>
          <w:color w:val="auto"/>
          <w:sz w:val="28"/>
          <w:szCs w:val="28"/>
          <w:highlight w:val="none"/>
        </w:rPr>
      </w:pPr>
      <w:r>
        <w:rPr>
          <w:rFonts w:hint="eastAsia" w:ascii="黑体" w:eastAsia="黑体"/>
          <w:color w:val="auto"/>
          <w:sz w:val="28"/>
          <w:szCs w:val="28"/>
          <w:highlight w:val="none"/>
        </w:rPr>
        <w:t xml:space="preserve"> 中国  西安</w:t>
      </w:r>
      <w:r>
        <w:rPr>
          <w:color w:val="auto"/>
          <w:sz w:val="28"/>
          <w:szCs w:val="28"/>
          <w:highlight w:val="none"/>
        </w:rPr>
        <w:tab/>
      </w:r>
    </w:p>
    <w:p w14:paraId="532DC9B9">
      <w:pPr>
        <w:pStyle w:val="2"/>
        <w:pageBreakBefore w:val="0"/>
        <w:kinsoku/>
        <w:overflowPunct/>
        <w:bidi w:val="0"/>
        <w:spacing w:line="360" w:lineRule="auto"/>
        <w:rPr>
          <w:color w:val="auto"/>
          <w:highlight w:val="none"/>
        </w:rPr>
      </w:pPr>
    </w:p>
    <w:p w14:paraId="10A5852A">
      <w:pPr>
        <w:pageBreakBefore w:val="0"/>
        <w:kinsoku/>
        <w:overflowPunct/>
        <w:bidi w:val="0"/>
        <w:spacing w:line="360" w:lineRule="auto"/>
        <w:ind w:firstLine="562" w:firstLineChars="200"/>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甲  方：</w:t>
      </w:r>
      <w:r>
        <w:rPr>
          <w:rFonts w:hint="eastAsia" w:ascii="仿宋" w:hAnsi="仿宋" w:eastAsia="仿宋" w:cs="仿宋"/>
          <w:color w:val="auto"/>
          <w:sz w:val="28"/>
          <w:szCs w:val="28"/>
          <w:highlight w:val="none"/>
        </w:rPr>
        <w:t xml:space="preserve"> </w:t>
      </w:r>
    </w:p>
    <w:p w14:paraId="38F26517">
      <w:pPr>
        <w:pageBreakBefore w:val="0"/>
        <w:kinsoku/>
        <w:overflowPunct/>
        <w:bidi w:val="0"/>
        <w:spacing w:line="360" w:lineRule="auto"/>
        <w:ind w:firstLine="562" w:firstLineChars="200"/>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住所地：</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 xml:space="preserve">  </w:t>
      </w:r>
    </w:p>
    <w:p w14:paraId="461CEC1C">
      <w:pPr>
        <w:pageBreakBefore w:val="0"/>
        <w:kinsoku/>
        <w:overflowPunct/>
        <w:bidi w:val="0"/>
        <w:spacing w:line="360" w:lineRule="auto"/>
        <w:ind w:firstLine="562" w:firstLineChars="2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乙  方：</w:t>
      </w:r>
    </w:p>
    <w:p w14:paraId="5E9AD652">
      <w:pPr>
        <w:pageBreakBefore w:val="0"/>
        <w:kinsoku/>
        <w:overflowPunct/>
        <w:bidi w:val="0"/>
        <w:spacing w:line="360" w:lineRule="auto"/>
        <w:ind w:firstLine="562" w:firstLineChars="200"/>
        <w:rPr>
          <w:rFonts w:hint="eastAsia" w:ascii="仿宋" w:hAnsi="仿宋" w:eastAsia="仿宋" w:cs="仿宋"/>
          <w:color w:val="auto"/>
          <w:sz w:val="28"/>
          <w:szCs w:val="28"/>
          <w:highlight w:val="none"/>
          <w:shd w:val="clear" w:color="auto" w:fill="FFFFFF"/>
        </w:rPr>
      </w:pPr>
      <w:r>
        <w:rPr>
          <w:rFonts w:hint="eastAsia" w:ascii="仿宋" w:hAnsi="仿宋" w:eastAsia="仿宋" w:cs="仿宋"/>
          <w:b/>
          <w:color w:val="auto"/>
          <w:sz w:val="28"/>
          <w:szCs w:val="28"/>
          <w:highlight w:val="none"/>
        </w:rPr>
        <w:t>住所地：</w:t>
      </w:r>
      <w:r>
        <w:rPr>
          <w:rFonts w:hint="eastAsia" w:ascii="仿宋" w:hAnsi="仿宋" w:eastAsia="仿宋" w:cs="仿宋"/>
          <w:color w:val="auto"/>
          <w:sz w:val="28"/>
          <w:szCs w:val="28"/>
          <w:highlight w:val="none"/>
          <w:shd w:val="clear" w:color="auto" w:fill="FFFFFF"/>
        </w:rPr>
        <w:t xml:space="preserve"> </w:t>
      </w:r>
    </w:p>
    <w:p w14:paraId="751CF40F">
      <w:pPr>
        <w:pageBreakBefore w:val="0"/>
        <w:kinsoku/>
        <w:overflowPunct/>
        <w:bidi w:val="0"/>
        <w:spacing w:line="360" w:lineRule="auto"/>
        <w:ind w:firstLine="562" w:firstLineChars="200"/>
        <w:jc w:val="left"/>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一、鉴于：</w:t>
      </w:r>
    </w:p>
    <w:p w14:paraId="72CBCF58">
      <w:pPr>
        <w:pageBreakBefore w:val="0"/>
        <w:kinsoku/>
        <w:overflowPunct/>
        <w:bidi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1.甲方是一家在中国依法注册并合法存续的企业，有合法签订并履行本合同的资格，且具有《营业执照》、《医疗机构执业许可证》、《诊所备案证》等相关经营许可资质。</w:t>
      </w:r>
    </w:p>
    <w:p w14:paraId="0FDE5264">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2.乙方是一家在中国依法注册并合法存续的企业，有合法签订并履行本合同的资格，且具有“危险废物经营许可”的资格。</w:t>
      </w:r>
    </w:p>
    <w:p w14:paraId="5F0B7DB3">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为保障人民群众的身体健康，防止医疗废物污染事故的发生，根据《中华人民共和国固体废物污染环境防治法》、《医疗废物管理条例》（2011修订）等相关法律规定，为实现医疗废物集中处置，甲方与乙方经共同协商，同意由</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负责处置甲方产生的医疗废物。为明确双方的权利、义务和责任，签订如下合同：</w:t>
      </w:r>
    </w:p>
    <w:p w14:paraId="56E21EC8">
      <w:pPr>
        <w:pageBreakBefore w:val="0"/>
        <w:kinsoku/>
        <w:overflowPunct/>
        <w:bidi w:val="0"/>
        <w:spacing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二、委托处置的范围及地址：</w:t>
      </w:r>
    </w:p>
    <w:p w14:paraId="3BC3C7EE">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1.甲方委托乙方处置的危险废物为： HW01 即甲方在医疗、预防、保健以及相关活动中产生的具有直接或者间接感染性、毒性及其他危害性废物；是《医疗废物分类目录》中所规定的除化学性废物之外的各项医疗废物。</w:t>
      </w:r>
    </w:p>
    <w:p w14:paraId="60D9D72A">
      <w:pPr>
        <w:pageBreakBefore w:val="0"/>
        <w:kinsoku/>
        <w:overflowPunct/>
        <w:bidi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2.乙方负责在约定的医疗废物交接地点接收甲方产生的医疗废物，运送至乙方工厂进行无害化处置。</w:t>
      </w:r>
    </w:p>
    <w:p w14:paraId="20206111">
      <w:pPr>
        <w:pageBreakBefore w:val="0"/>
        <w:kinsoku/>
        <w:overflowPunct/>
        <w:bidi w:val="0"/>
        <w:spacing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三、甲方的权利义务：</w:t>
      </w:r>
    </w:p>
    <w:p w14:paraId="153897DA">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1.指定</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负责衔接、配合乙方的收运及处置工作，联系电话：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37265565">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甲方应严格按照国家相关的法律法规将医疗废物进行分类、收集、转送、计量、包装、贮存，使用黄色专用包装袋密封，包装后再放置于专用周转桶中，并保证包装袋完整不破损。损伤性医疗废物必须使用“利器盒”包装；液体医疗废物必须使用专用“塑料桶”盛装，并单独存放。</w:t>
      </w:r>
    </w:p>
    <w:p w14:paraId="54A6DD4E">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3.甲方应按国家相关规范设立医疗废物暂存点，暂存点中不得存放除医疗废物外的其他废物，禁止存放其他危险废物，医疗废物周转桶必须集中放置在其医疗废物暂存点待运。</w:t>
      </w:r>
    </w:p>
    <w:p w14:paraId="2084DC78">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4.对于设立在一楼以上、地下室等不方便运送人员及运送工具、车辆出入的暂存点，甲方须安排人员配合转运工作，如甲方未安排人员或未及时安排人员配合转运，所造成的漏接、漏拖由甲方承担责任。</w:t>
      </w:r>
    </w:p>
    <w:p w14:paraId="240AA6FC">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5.甲方须在盛装液体医疗废物的“塑料桶”明显位置上粘贴包含废物名称、主要成分、危险特性等内容的标签，并加盖单位印章，同时，双方交接前须向乙方提供有检测资质单位出具的检测报告。</w:t>
      </w:r>
    </w:p>
    <w:p w14:paraId="47B4DEA6">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甲方确保医疗废物中不混入其他危险废物，若混入，乙方有权拒收医疗废物，同时乙方不因拒绝收集医疗废物承担任何责任，甲方仍应按本合同约定支付医疗废物处置费用。如因此引发环境等问题，由甲方承担所有责任，并赔偿乙方因此遭受的所有损失。如因甲方隐瞒违规将其他危险废物混入医疗废物，造成乙方车辆、处置设施损毁、人员伤亡等安全环保责任事故，甲方承担全部责任并赔偿乙方损失。同时，乙方可即刻停止收运处置服务直至甲方履行完毕赔偿责任及完成相关整改工作后，经卫健委、生态环境行政主管部门批准，方可恢复收运处置服务。</w:t>
      </w:r>
    </w:p>
    <w:p w14:paraId="00CE5CA0">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甲方的医疗废物负责人员应提前做好准备等待清运，并按照《医疗废物集中处置技术规范》填写和保存《危险废物转移联单》（医疗废物专用）、《医疗废物运送登记卡》，如当次无废物交接，也必须在联单、登记卡上如实记录。如车到医疗废物暂存处无人配合，发生漏接、漏拖由甲方承担责任。</w:t>
      </w:r>
    </w:p>
    <w:p w14:paraId="07C42332">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根据国家相关的法律法规规定，甲方保证产生的医疗废物，不得擅自自行处置、丢弃、买卖或委托未取得经营许可的第三方处置，如经查实有此现象发生，乙方有权向卫健委、生态环境行政主管部门报告，由此产生的一切后果甲方自行承担。</w:t>
      </w:r>
    </w:p>
    <w:p w14:paraId="0A86EA11">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9.甲方有义务将其内部有关交通、安全及管理规定告知乙方，保障乙方的医疗废物转运车辆在其院内的运输通道通畅和安全，并在其医疗废物贮存点附近无偿提供停车点位。</w:t>
      </w:r>
    </w:p>
    <w:p w14:paraId="74CE564B">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10.甲方有处置需求时，须及时通知乙方，如因甲方未及时通知乙方，造成未及时收运和处置，甲方承担相应责任；如由于乙方未能及时响应收运，对甲方产生的损失，由乙方承担相应责任。</w:t>
      </w:r>
    </w:p>
    <w:p w14:paraId="2AD161B6">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11.合同签订，甲方须向乙方提供有效期内的《营业执照》、《医疗机构执业许可证》副本、《诊所备案证》、《法人身份证复印件》或其他经营许可资质复印件，并对其有效性及真实性负责，供乙方存档。</w:t>
      </w:r>
    </w:p>
    <w:p w14:paraId="3D9E58E9">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12.指定专人负责乙方提供的专用包装容器的接收及管理工作。</w:t>
      </w:r>
    </w:p>
    <w:p w14:paraId="7EC5BBA8">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13.甲方应根据本合同条款按期足额支付医疗废物处置费用。</w:t>
      </w:r>
    </w:p>
    <w:p w14:paraId="02BD1425">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14.甲方如擅自接收非本单位产生且没有与乙方签订补充协议并缴纳此类医疗废物处置费用的，乙方有权拒收此类医疗废物并向生态环境局、卫健局报告，同时有权向甲方索取因此造成的全部经济损失。</w:t>
      </w:r>
    </w:p>
    <w:p w14:paraId="2ABA8983">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15.甲方应在每月初及时向乙方如实提供上月住院病人实际占用床位日数及上月每天住院病人实际占用床位</w:t>
      </w:r>
    </w:p>
    <w:p w14:paraId="513A37AA">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16.日数清单，不得少报（虚报），否则，甲方应根据本合同第六条第6款承担相应的责任。</w:t>
      </w:r>
    </w:p>
    <w:p w14:paraId="417653C4">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17.出现经营地址变更、经营人变更、暂停营业、营业范围变更等要及时通知乙方，因医疗机构类别变更导致对应的收费标准类别变更从《医疗机构执业许可证》发证日期之日起变更对应的收费标准。</w:t>
      </w:r>
    </w:p>
    <w:p w14:paraId="73786C54">
      <w:pPr>
        <w:pageBreakBefore w:val="0"/>
        <w:kinsoku/>
        <w:overflowPunct/>
        <w:bidi w:val="0"/>
        <w:spacing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四、乙方的权利义务：</w:t>
      </w:r>
    </w:p>
    <w:p w14:paraId="6DE0C275">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1.乙方应向甲方提供其有效期内的《营业执照》、《危险废物经营许可证》复印件，并保证该材料正规有效，同时交由甲方存档。</w:t>
      </w:r>
    </w:p>
    <w:p w14:paraId="6290EABA">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乙方负责及时按甲方实际需要，定量向甲方提供专用包装袋、利器盒、周转箱，周转桶应存放在甲方的医疗废物暂存点，并仅用于存放医疗废物。甲方有责任妥善保管医疗废物周转桶，如有遗失或人为损坏，按照周转桶（240L）420元／个进行赔偿。</w:t>
      </w:r>
    </w:p>
    <w:p w14:paraId="6C89D4E2">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乙方在接收医疗废物时有权对移交的医疗废物的标识、包装、数量和重量等进行核实，经核实无误，双方共同填写《危险废物转移联单》（医疗废物专用）和《医疗废物运送登记卡》并签字确认，若乙方对其类型、数量、重量有异议或包装、标识不符合规定的，要求甲方更正，甲方拒绝更正时，乙方可拒收，并将有关情况于《医疗废物运送登记卡》上注明，上报卫健委、生态环境行政主管部门，由此引起的责任由甲方承担。</w:t>
      </w:r>
    </w:p>
    <w:p w14:paraId="7EB8D0D8">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对于设立在一楼以上、地下室等不方便运送人员及运送工具、车辆出入的暂存点，乙方可要求甲方安排人员配合转运工作，甲方拒绝配合时，乙方可拒收，并将有关情况于《医疗废物运送登记卡》上注明，上报卫健委、生态环境行政主管部门，由此引起的责任由甲方承担。</w:t>
      </w:r>
    </w:p>
    <w:p w14:paraId="1330DA4B">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5.乙方保证遵守甲方内部有关交通、安全及规章制度，如有违反，按甲方的管理规定处理。</w:t>
      </w:r>
    </w:p>
    <w:p w14:paraId="54333168">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6.乙方应做好医疗废物安全运输工作，使用专用车辆收运并防止运输途中出现医疗废物流失、扩散造成环境污染。</w:t>
      </w:r>
    </w:p>
    <w:p w14:paraId="4AFB4B88">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7.乙方派专用医疗废物转运车在甲方指定的医疗废物暂存点清运，在装车、运输过程中杜绝跑、冒、滴、漏，对转运过程中的交通安全及环保安全负责。</w:t>
      </w:r>
    </w:p>
    <w:p w14:paraId="258D77B3">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8.根据《医疗废物管理条例》和《医疗废物集中处置技术规范》等相关要求对接收的医疗废物进行无害化处置，如乙方未按规范收运、处置甲方的医疗废物，造成二次污染的事实，乙方承担相应责任。</w:t>
      </w:r>
    </w:p>
    <w:p w14:paraId="3F35D8F5">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9.乙方有义务接受甲方对处置医疗危险废物过程的监督，如乙方对医疗废物的处置不符合国家及生态环境部门的相关规定，甲方有权向卫健委、生态环境行政主管部门举报。</w:t>
      </w:r>
    </w:p>
    <w:p w14:paraId="0FD0FB0F">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10.对于甲方的收运需求，乙方承诺，接甲方通知后两个工作日内进行清运。客服电话</w:t>
      </w:r>
      <w:r>
        <w:rPr>
          <w:rFonts w:hint="eastAsia" w:ascii="仿宋" w:hAnsi="仿宋" w:eastAsia="仿宋" w:cs="仿宋"/>
          <w:color w:val="auto"/>
          <w:sz w:val="28"/>
          <w:szCs w:val="28"/>
          <w:highlight w:val="none"/>
          <w:u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rPr>
        <w:t>。</w:t>
      </w:r>
    </w:p>
    <w:p w14:paraId="5F3C2FEF">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w:t>
      </w:r>
      <w:r>
        <w:rPr>
          <w:rFonts w:hint="eastAsia" w:ascii="仿宋" w:hAnsi="仿宋" w:eastAsia="仿宋" w:cs="仿宋"/>
          <w:bCs/>
          <w:color w:val="auto"/>
          <w:sz w:val="28"/>
          <w:szCs w:val="28"/>
          <w:highlight w:val="none"/>
        </w:rPr>
        <w:t>乙</w:t>
      </w:r>
      <w:r>
        <w:rPr>
          <w:rFonts w:hint="eastAsia" w:ascii="仿宋" w:hAnsi="仿宋" w:eastAsia="仿宋" w:cs="仿宋"/>
          <w:color w:val="auto"/>
          <w:sz w:val="28"/>
          <w:szCs w:val="28"/>
          <w:highlight w:val="none"/>
        </w:rPr>
        <w:t>方负责运输，负责每两日对甲方医疗废物进行收运及配送。乙方司机等员工属于乙方的工作人员，如在运输过程中发生交通事故或者遭受侵权或他人侵权，由乙方承担责任，与甲方无关。</w:t>
      </w:r>
    </w:p>
    <w:p w14:paraId="2307DA96">
      <w:pPr>
        <w:pageBreakBefore w:val="0"/>
        <w:kinsoku/>
        <w:overflowPunct/>
        <w:bidi w:val="0"/>
        <w:spacing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五、费用及结算方式：</w:t>
      </w:r>
    </w:p>
    <w:p w14:paraId="7F598282">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依据《西安市医疗废物集中处置实施方案》：“为了确保医疗废物集中处置中心的正常运转，医疗废物处置收费由医疗废物集中处置中心和医疗废物产生单位通过签订协议，采取先收后结的收费结算方式”、“对一级以上(含一级)的医院按实际使用床位数收费，每张床位每日收取2元医疗废物处置费”，结合甲方医疗废物收运和处置的实际情况，本着“污染付费、公平负担、平等自愿、协商一致”的原则，甲乙双方经协商确定合同期内：2026年预算金额为人民币（大写：    ，小写：   ）</w:t>
      </w:r>
    </w:p>
    <w:p w14:paraId="27F0A326">
      <w:pPr>
        <w:pageBreakBefore w:val="0"/>
        <w:numPr>
          <w:ilvl w:val="0"/>
          <w:numId w:val="1"/>
        </w:numPr>
        <w:kinsoku/>
        <w:overflowPunct/>
        <w:bidi w:val="0"/>
        <w:spacing w:line="360" w:lineRule="auto"/>
        <w:ind w:firstLine="560" w:firstLineChars="200"/>
        <w:rPr>
          <w:rFonts w:hint="eastAsia" w:ascii="仿宋" w:hAnsi="仿宋" w:eastAsia="仿宋"/>
          <w:bCs/>
          <w:color w:val="auto"/>
          <w:sz w:val="28"/>
          <w:szCs w:val="28"/>
          <w:highlight w:val="none"/>
        </w:rPr>
      </w:pPr>
      <w:r>
        <w:rPr>
          <w:rFonts w:hint="eastAsia" w:ascii="仿宋" w:hAnsi="仿宋" w:eastAsia="仿宋" w:cs="仿宋"/>
          <w:color w:val="auto"/>
          <w:sz w:val="28"/>
          <w:szCs w:val="28"/>
          <w:highlight w:val="none"/>
        </w:rPr>
        <w:t>经根据</w:t>
      </w:r>
      <w:r>
        <w:rPr>
          <w:rFonts w:ascii="仿宋" w:hAnsi="仿宋" w:eastAsia="仿宋" w:cs="仿宋"/>
          <w:color w:val="auto"/>
          <w:sz w:val="28"/>
          <w:szCs w:val="28"/>
          <w:highlight w:val="none"/>
        </w:rPr>
        <w:t>甲方提供的预估床位数</w:t>
      </w:r>
      <w:r>
        <w:rPr>
          <w:rFonts w:hint="eastAsia" w:ascii="仿宋" w:hAnsi="仿宋" w:eastAsia="仿宋" w:cs="仿宋"/>
          <w:color w:val="auto"/>
          <w:sz w:val="28"/>
          <w:szCs w:val="28"/>
          <w:highlight w:val="none"/>
        </w:rPr>
        <w:t>甲乙双方协商，预估</w:t>
      </w:r>
      <w:r>
        <w:rPr>
          <w:rFonts w:hint="eastAsia" w:ascii="仿宋" w:hAnsi="仿宋" w:eastAsia="仿宋" w:cs="仿宋"/>
          <w:color w:val="auto"/>
          <w:sz w:val="28"/>
          <w:szCs w:val="28"/>
          <w:highlight w:val="none"/>
          <w:u w:val="single"/>
        </w:rPr>
        <w:t xml:space="preserve"> 2026 </w:t>
      </w:r>
      <w:r>
        <w:rPr>
          <w:rFonts w:hint="eastAsia" w:ascii="仿宋" w:hAnsi="仿宋" w:eastAsia="仿宋" w:cs="仿宋"/>
          <w:color w:val="auto"/>
          <w:sz w:val="28"/>
          <w:szCs w:val="28"/>
          <w:highlight w:val="none"/>
        </w:rPr>
        <w:t>年度甲方床位总数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张，</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年度甲方全年应预付乙方的处置费总计人民币（大写：</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，小写：</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）；平均每季度应支付处置费人民币（大写：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，小写：</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）其中，2025年实际结算金额按照省、市卫生健康委员会提供的2025年度甲方实际使用正式床位总数于次年据实结算全年应当支付费用，多退少补。   </w:t>
      </w:r>
    </w:p>
    <w:p w14:paraId="52B1B554">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（三）收费方式：乙方于第二季度第一月的10日前向甲方提供上季度处置费发票，甲方于收到发票后10个工作日内将处置费按照甲方财务流程支付给乙方。</w:t>
      </w:r>
    </w:p>
    <w:p w14:paraId="4FBD28CA">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（四）乙方收款账户如下：</w:t>
      </w:r>
    </w:p>
    <w:p w14:paraId="26D2AF2B">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账户名：</w:t>
      </w:r>
    </w:p>
    <w:p w14:paraId="7B96B9AB">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开户行：</w:t>
      </w:r>
    </w:p>
    <w:p w14:paraId="605DC609">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账  号：</w:t>
      </w:r>
    </w:p>
    <w:p w14:paraId="08833D49">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甲方仅认可上述指定账户并向该账户付款，甲方有权拒绝向指定账户之外的任何账户付款，并且由此导致的付款延迟责任由乙方承担。</w:t>
      </w:r>
    </w:p>
    <w:p w14:paraId="2DD2D038">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乙方要如实开具发票，不得变更开票内容，乙方开具发票出现税务争议时，乙方需承担税款、滞纳金、罚款等赔偿责任以及其他相关责任。 </w:t>
      </w:r>
    </w:p>
    <w:p w14:paraId="7C62EBAD">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乙方按季度据实开具发票并持成交通知书、服务合同、正式发票，甲方于收到发票后10个工作日内向乙方支付票款。</w:t>
      </w:r>
    </w:p>
    <w:p w14:paraId="64C48D63">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（五）甲方开票信息</w:t>
      </w:r>
    </w:p>
    <w:p w14:paraId="6370ED4C">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公司名称：</w:t>
      </w:r>
    </w:p>
    <w:p w14:paraId="7E4C70BF">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统一社会信用代码：</w:t>
      </w:r>
    </w:p>
    <w:p w14:paraId="558E3E0E">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经营场所：</w:t>
      </w:r>
    </w:p>
    <w:p w14:paraId="4CEF83DD">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w:t>
      </w:r>
    </w:p>
    <w:p w14:paraId="1BA29AE4">
      <w:pPr>
        <w:pageBreakBefore w:val="0"/>
        <w:kinsoku/>
        <w:overflowPunct/>
        <w:bidi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银行信息：</w:t>
      </w:r>
    </w:p>
    <w:p w14:paraId="481CDBFE">
      <w:pPr>
        <w:pageBreakBefore w:val="0"/>
        <w:kinsoku/>
        <w:overflowPunct/>
        <w:bidi w:val="0"/>
        <w:spacing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六、其它约定</w:t>
      </w:r>
    </w:p>
    <w:p w14:paraId="16307DD6">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1.在本合同有效期届满前 1 个月内，双方协商续签合同事宜。若甲方到期不续签，则乙方有权终止合同，并报送卫健委、生态环境行政主管部门。</w:t>
      </w:r>
    </w:p>
    <w:p w14:paraId="5D58370F">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2.国家有关医疗废物的法律、法规、规范性文件若发生变更修订，甲乙双方应根据变更后的要求对本合同进行修订。</w:t>
      </w:r>
    </w:p>
    <w:p w14:paraId="1C451CC2">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3.西安市医疗废物处置收费标准发生变更时，甲乙双方应执行新的物价收费标准，甲、乙双方应重新签订《医疗废物集中处置合同》，本合同自行终止。</w:t>
      </w:r>
    </w:p>
    <w:p w14:paraId="226CFDF1">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4.甲方对床位使用率、费用有异议，应当在接到乙方通知后7日内以书面方式提出，否则视为双方一致认可。</w:t>
      </w:r>
    </w:p>
    <w:p w14:paraId="4A56DA9F">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5.若甲方在规定期限内未结清款项，按应结未结款项的万分之五每日支付违约金。乙方同时上报卫健委、生态环境行政主管部门，并有权即刻停止服务直至结清所有款项再恢复服务，所造成全部责任由甲方承担。</w:t>
      </w:r>
    </w:p>
    <w:p w14:paraId="010DD7F6">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甲方如果故意少报实际住院床日数，少付处置费，不按时付款，经查实，则由卫健、生态环境等部门责令缴交所欠费用。如有三个月未付款，乙方有权停止对甲方医疗废物的上门收运服务，并有权收取甲方涉及的医疗废物处置费一倍的违约金。</w:t>
      </w:r>
    </w:p>
    <w:p w14:paraId="0B22B5D0">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7.甲方拖欠医疗废物处置费三个月以上造成一切后果（包括医疗废物流失、渗漏、遗撒导致传染病传播及环境污染事故等）均由甲方承担。</w:t>
      </w:r>
    </w:p>
    <w:p w14:paraId="4DA59DF1">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8.如果乙方违反有关法规以及未及时到甲方收运医疗废物，无理拒收医疗废物，在运送处置医疗废物过程中出现医疗废物流失、扩散，则由生态环境部门责令整改及依法处罚。</w:t>
      </w:r>
    </w:p>
    <w:p w14:paraId="65A9006D">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七、违约责任</w:t>
      </w:r>
    </w:p>
    <w:p w14:paraId="543880C6">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（1）如乙方未按规范收运、处置甲方的医疗废物，造成二次污染的事实，视同乙方违约，一切责任由乙方承担。</w:t>
      </w:r>
    </w:p>
    <w:p w14:paraId="64FCA2E0">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（2）乙方运输、处置中所有的安全责任事故及造成的经济损失由乙方承担。</w:t>
      </w:r>
    </w:p>
    <w:p w14:paraId="4F470DEF">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（3）乙方负责运输，负责每两日对甲方产生的医疗垃圾进行收运。乙方司机等员工属于乙方的工作人员，如在运输过程中发生交通事故或者遭受侵权或他人侵权，由乙方承担责任，与甲方无关。</w:t>
      </w:r>
    </w:p>
    <w:p w14:paraId="3BDEBF25">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（4）合同履行期间，如乙方不能及时运输医疗废物，导致甲方或他人遭受人身或财产损失的，由乙方承担责任，赔偿损失，与甲方无关。</w:t>
      </w:r>
    </w:p>
    <w:p w14:paraId="67B750B5">
      <w:pPr>
        <w:pageBreakBefore w:val="0"/>
        <w:kinsoku/>
        <w:overflowPunct/>
        <w:bidi w:val="0"/>
        <w:spacing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八、争议的解决：</w:t>
      </w:r>
    </w:p>
    <w:p w14:paraId="7EA01FEB">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1.本合同执行过程中未尽之事宜，应经双方共同协商，签署补充协议，补充协议和本合同具有同等法律效力。</w:t>
      </w:r>
    </w:p>
    <w:p w14:paraId="5FF5775A">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2.双方在合同履行过程中产生争议应友好协商，如协商不成，报请卫健委、生态环境行政主管部门进行协调，协调不成，可以向甲方所在地人民法院提起诉讼。    </w:t>
      </w:r>
    </w:p>
    <w:p w14:paraId="66F090A2">
      <w:pPr>
        <w:pageBreakBefore w:val="0"/>
        <w:kinsoku/>
        <w:overflowPunct/>
        <w:bidi w:val="0"/>
        <w:spacing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九、合同生效日及有效期：</w:t>
      </w:r>
    </w:p>
    <w:p w14:paraId="35E987FF">
      <w:pPr>
        <w:pageBreakBefore w:val="0"/>
        <w:kinsoku/>
        <w:overflowPunct/>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1.本合同一式</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份，甲方执</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份，乙方执</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份，每份具有同等法律效力；经双方法定代表人或授权代表签字并加盖印章生效。</w:t>
      </w:r>
    </w:p>
    <w:p w14:paraId="55CF2EE9">
      <w:pPr>
        <w:pageBreakBefore w:val="0"/>
        <w:kinsoku/>
        <w:overflowPunct/>
        <w:bidi w:val="0"/>
        <w:spacing w:line="360" w:lineRule="auto"/>
        <w:ind w:firstLine="560" w:firstLineChars="200"/>
        <w:rPr>
          <w:rFonts w:hint="eastAsia" w:ascii="仿宋" w:hAnsi="仿宋" w:eastAsia="仿宋" w:cs="仿宋"/>
          <w:bCs/>
          <w:color w:val="auto"/>
          <w:sz w:val="28"/>
          <w:szCs w:val="28"/>
          <w:highlight w:val="none"/>
        </w:rPr>
        <w:sectPr>
          <w:footerReference r:id="rId3" w:type="default"/>
          <w:pgSz w:w="11906" w:h="16838"/>
          <w:pgMar w:top="1440" w:right="1800" w:bottom="1440" w:left="1800" w:header="851" w:footer="992" w:gutter="0"/>
          <w:pgNumType w:fmt="decimal" w:start="3"/>
          <w:cols w:space="425" w:num="1"/>
          <w:docGrid w:type="lines" w:linePitch="312" w:charSpace="0"/>
        </w:sectPr>
      </w:pPr>
    </w:p>
    <w:p w14:paraId="5B12FFC0">
      <w:pPr>
        <w:pageBreakBefore w:val="0"/>
        <w:kinsoku/>
        <w:overflowPunct/>
        <w:bidi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2.合同有效期：</w:t>
      </w:r>
    </w:p>
    <w:p w14:paraId="02EA58D9">
      <w:pPr>
        <w:pageBreakBefore w:val="0"/>
        <w:kinsoku/>
        <w:overflowPunct/>
        <w:bidi w:val="0"/>
        <w:spacing w:line="360" w:lineRule="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自       年     月     日起至       年     月     日</w:t>
      </w:r>
    </w:p>
    <w:p w14:paraId="5179C5C6">
      <w:pPr>
        <w:pageBreakBefore w:val="0"/>
        <w:tabs>
          <w:tab w:val="left" w:pos="480"/>
        </w:tabs>
        <w:kinsoku/>
        <w:overflowPunct/>
        <w:bidi w:val="0"/>
        <w:spacing w:line="360" w:lineRule="auto"/>
        <w:rPr>
          <w:rFonts w:hint="eastAsia" w:ascii="仿宋" w:hAnsi="仿宋" w:eastAsia="仿宋" w:cs="仿宋"/>
          <w:color w:val="auto"/>
          <w:sz w:val="28"/>
          <w:szCs w:val="28"/>
          <w:highlight w:val="none"/>
        </w:rPr>
      </w:pPr>
    </w:p>
    <w:p w14:paraId="1B1CF55E">
      <w:pPr>
        <w:pageBreakBefore w:val="0"/>
        <w:tabs>
          <w:tab w:val="left" w:pos="480"/>
        </w:tabs>
        <w:kinsoku/>
        <w:overflowPunct/>
        <w:bidi w:val="0"/>
        <w:spacing w:line="360" w:lineRule="auto"/>
        <w:rPr>
          <w:rFonts w:hint="eastAsia" w:ascii="仿宋" w:hAnsi="仿宋" w:eastAsia="仿宋" w:cs="仿宋"/>
          <w:color w:val="auto"/>
          <w:sz w:val="28"/>
          <w:szCs w:val="28"/>
          <w:highlight w:val="none"/>
        </w:rPr>
      </w:pPr>
    </w:p>
    <w:p w14:paraId="735F261D">
      <w:pPr>
        <w:pageBreakBefore w:val="0"/>
        <w:tabs>
          <w:tab w:val="left" w:pos="480"/>
        </w:tabs>
        <w:kinsoku/>
        <w:overflowPunct/>
        <w:bidi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  方（法人公章）                    乙  方（法人公章）</w:t>
      </w:r>
    </w:p>
    <w:p w14:paraId="39DC269B">
      <w:pPr>
        <w:pageBreakBefore w:val="0"/>
        <w:tabs>
          <w:tab w:val="left" w:pos="480"/>
        </w:tabs>
        <w:kinsoku/>
        <w:overflowPunct/>
        <w:bidi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单位名称：西安市第五医院              单位名称：</w:t>
      </w:r>
    </w:p>
    <w:p w14:paraId="4DC1C91F">
      <w:pPr>
        <w:pageBreakBefore w:val="0"/>
        <w:tabs>
          <w:tab w:val="left" w:pos="480"/>
        </w:tabs>
        <w:kinsoku/>
        <w:overflowPunct/>
        <w:bidi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址：西安市莲湖区西关正街112号    地  址：</w:t>
      </w:r>
    </w:p>
    <w:p w14:paraId="1E4D88AC">
      <w:pPr>
        <w:pageBreakBefore w:val="0"/>
        <w:tabs>
          <w:tab w:val="left" w:pos="480"/>
        </w:tabs>
        <w:kinsoku/>
        <w:overflowPunct/>
        <w:bidi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经办人：                              经办人：                                </w:t>
      </w:r>
    </w:p>
    <w:p w14:paraId="1F81033B">
      <w:pPr>
        <w:pageBreakBefore w:val="0"/>
        <w:tabs>
          <w:tab w:val="left" w:pos="480"/>
        </w:tabs>
        <w:kinsoku/>
        <w:overflowPunct/>
        <w:bidi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主管院长：                                                              </w:t>
      </w:r>
    </w:p>
    <w:p w14:paraId="3365B29F">
      <w:pPr>
        <w:pageBreakBefore w:val="0"/>
        <w:tabs>
          <w:tab w:val="left" w:pos="480"/>
        </w:tabs>
        <w:suppressAutoHyphens/>
        <w:kinsoku/>
        <w:overflowPunct/>
        <w:bidi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法定代表人（签字或盖章）：            法定代表人（签字或盖章）：                                                          </w:t>
      </w:r>
    </w:p>
    <w:p w14:paraId="5F823C7A">
      <w:pPr>
        <w:pageBreakBefore w:val="0"/>
        <w:tabs>
          <w:tab w:val="left" w:pos="480"/>
        </w:tabs>
        <w:suppressAutoHyphens/>
        <w:kinsoku/>
        <w:overflowPunct/>
        <w:bidi w:val="0"/>
        <w:spacing w:line="360" w:lineRule="auto"/>
        <w:ind w:left="5880" w:hanging="5880" w:hangingChars="2100"/>
        <w:rPr>
          <w:rFonts w:hint="eastAsia" w:ascii="仿宋" w:hAnsi="仿宋" w:eastAsia="仿宋" w:cs="仿宋"/>
          <w:color w:val="auto"/>
          <w:sz w:val="28"/>
          <w:szCs w:val="28"/>
          <w:highlight w:val="none"/>
        </w:rPr>
      </w:pPr>
    </w:p>
    <w:p w14:paraId="2256EF6F">
      <w:pPr>
        <w:pageBreakBefore w:val="0"/>
        <w:tabs>
          <w:tab w:val="left" w:pos="480"/>
        </w:tabs>
        <w:suppressAutoHyphens/>
        <w:kinsoku/>
        <w:overflowPunct/>
        <w:bidi w:val="0"/>
        <w:spacing w:line="360" w:lineRule="auto"/>
        <w:ind w:left="0" w:leftChars="0" w:firstLine="5040" w:firstLineChars="18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开户银行：</w:t>
      </w:r>
    </w:p>
    <w:p w14:paraId="7C2C4A5D">
      <w:pPr>
        <w:pageBreakBefore w:val="0"/>
        <w:tabs>
          <w:tab w:val="left" w:pos="480"/>
        </w:tabs>
        <w:kinsoku/>
        <w:overflowPunct/>
        <w:bidi w:val="0"/>
        <w:spacing w:line="360" w:lineRule="auto"/>
        <w:ind w:left="0" w:leftChars="0" w:firstLine="5040" w:firstLineChars="18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帐  号：       </w:t>
      </w:r>
    </w:p>
    <w:p w14:paraId="4A2DD835">
      <w:pPr>
        <w:pageBreakBefore w:val="0"/>
        <w:tabs>
          <w:tab w:val="left" w:pos="480"/>
        </w:tabs>
        <w:kinsoku/>
        <w:overflowPunct/>
        <w:bidi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联系电话：029-                      联系电话：</w:t>
      </w:r>
    </w:p>
    <w:p w14:paraId="5BCC3DFF">
      <w:pPr>
        <w:pageBreakBefore w:val="0"/>
        <w:tabs>
          <w:tab w:val="left" w:pos="480"/>
        </w:tabs>
        <w:kinsoku/>
        <w:overflowPunct/>
        <w:bidi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签订日期：年  月  日                签订日期：年  月  日</w:t>
      </w:r>
    </w:p>
    <w:p w14:paraId="45734A2F">
      <w:pPr>
        <w:pageBreakBefore w:val="0"/>
        <w:kinsoku/>
        <w:overflowPunct/>
        <w:bidi w:val="0"/>
        <w:spacing w:line="360" w:lineRule="auto"/>
        <w:ind w:firstLine="600" w:firstLineChars="200"/>
        <w:rPr>
          <w:rFonts w:hint="eastAsia" w:ascii="仿宋" w:hAnsi="仿宋" w:eastAsia="仿宋"/>
          <w:bCs/>
          <w:color w:val="auto"/>
          <w:sz w:val="30"/>
          <w:szCs w:val="30"/>
          <w:highlight w:val="none"/>
        </w:rPr>
      </w:pPr>
    </w:p>
    <w:p w14:paraId="19E8A8FC">
      <w:pPr>
        <w:pStyle w:val="6"/>
        <w:pageBreakBefore w:val="0"/>
        <w:kinsoku/>
        <w:overflowPunct/>
        <w:bidi w:val="0"/>
        <w:spacing w:line="360" w:lineRule="auto"/>
        <w:rPr>
          <w:rFonts w:ascii="宋体" w:hAnsi="宋体" w:eastAsia="宋体" w:cs="宋体"/>
          <w:b/>
          <w:bCs/>
          <w:color w:val="auto"/>
          <w:sz w:val="57"/>
          <w:szCs w:val="57"/>
          <w:highlight w:val="none"/>
          <w:lang w:eastAsia="zh-CN" w:bidi="ar"/>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F8F34">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3B013C">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753B013C">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3440AE"/>
    <w:multiLevelType w:val="singleLevel"/>
    <w:tmpl w:val="053440A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4B7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w:basedOn w:val="1"/>
    <w:next w:val="1"/>
    <w:qFormat/>
    <w:uiPriority w:val="0"/>
    <w:rPr>
      <w:b/>
      <w:sz w:val="2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2025-11-03T03:19:38Z</dcterms:created>
  <dc:creator>0</dc:creator>
  <cp:lastModifiedBy>梦雨</cp:lastModifiedBy>
  <dcterms:modified xsi:type="dcterms:W3CDTF">2025-11-03T03:19:49Z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eyJoZGlkIjoiZDZhMGYxOWMzZDFjZDQ2Y2MwMTBlYWU5NzY1MmRkMzAiLCJ1c2VySWQiOiI1OTYyNjU4NzAifQ==</vt:lpwstr>
  </property>
  <property fmtid="{D5CDD505-2E9C-101B-9397-08002B2CF9AE}" pid="4" name="ICV">
    <vt:lpwstr>4DE2FC771BC84113B9D1132FCF9F480B_12</vt:lpwstr>
  </property>
</Properties>
</file>