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版本号：2025-HXCT-105-220251103001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多模态医疗数据融合平台项目(二次)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2025-HXCT-105-2</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多模态医疗数据融合平台项目(二次)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2025-HXCT-105-2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多模态医疗数据融合平台项目(二次)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多模态医疗数据融合平台项目。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采购包1（西安市儿童医院多模态医疗数据融合平台项目）：属于专门面向中小企业采购。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提供具有财务审计资质单位出具的2024年度财务报告或磋商前六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社保缴纳证明：提供已缴存的磋商时间前6个月内任一个月（磋商截止时间当月不计入）的社会保障资金缴存单据或社保机构开具的社会保险参保缴费情况证明。成立时间至提交响应文件截止时间不足一个月或依法不需要缴纳社会保障资金的供应商应提供相关文件证明。</w:t>
      </w:r>
    </w:p>
    <w:p>
      <w:pPr>
        <w:pStyle w:val="null3"/>
      </w:pPr>
      <w:r>
        <w:rPr>
          <w:rFonts w:ascii="仿宋_GB2312" w:hAnsi="仿宋_GB2312" w:cs="仿宋_GB2312" w:eastAsia="仿宋_GB2312"/>
        </w:rPr>
        <w:t>4、税收缴纳证明：提供已缴存的磋商时间前 6个月内任一个月（磋商截止时间当月不计入）的的纳税证明或完税证明，纳税证明或完税证明上应有代收机构或税务机关的公章或业务专用章。依法免税的供应商应提供相关文件证明。成立时间至提交响应文件截止时间不足一个月或依法不需要缴纳社会保障资金的供应商应提供相关文件证明。</w:t>
      </w:r>
    </w:p>
    <w:p>
      <w:pPr>
        <w:pStyle w:val="null3"/>
      </w:pPr>
      <w:r>
        <w:rPr>
          <w:rFonts w:ascii="仿宋_GB2312" w:hAnsi="仿宋_GB2312" w:cs="仿宋_GB2312" w:eastAsia="仿宋_GB2312"/>
        </w:rPr>
        <w:t>5、书面声明：（1）出具履行合同所必需的设备和专业技术能力的书面声明；（2）出具参加本次政府采购活动无重大违法记录的书面声明。</w:t>
      </w:r>
    </w:p>
    <w:p>
      <w:pPr>
        <w:pStyle w:val="null3"/>
      </w:pPr>
      <w:r>
        <w:rPr>
          <w:rFonts w:ascii="仿宋_GB2312" w:hAnsi="仿宋_GB2312" w:cs="仿宋_GB2312" w:eastAsia="仿宋_GB2312"/>
        </w:rPr>
        <w:t>6、法定代表人授权委托书：法定代表人直接参加的须出具法人身份证明并于营业执照信息一致，法定代表人授权代表参加的须出具法定代表人授权书。</w:t>
      </w:r>
    </w:p>
    <w:p>
      <w:pPr>
        <w:pStyle w:val="null3"/>
      </w:pPr>
      <w:r>
        <w:rPr>
          <w:rFonts w:ascii="仿宋_GB2312" w:hAnsi="仿宋_GB2312" w:cs="仿宋_GB2312" w:eastAsia="仿宋_GB2312"/>
        </w:rPr>
        <w:t>7、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8、中小企业声明函：供应商应提供中小企业声明函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西安市儿童医院经办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西安市未央区凤城七路长和国际D座26楼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李阳艳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18119311406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招标代理服务收费管理暂行办法》（计价格[2002]1980号）、《国家发展改革委办公厅关于招标代理服务收费有关问题的通知》（发改价格[2003]857号）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现行的国家标准或国家行政部门颁布的法律法规、规章制度等，没有国家标准的可参考行业标准。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联系人：李阳艳</w:t>
      </w:r>
    </w:p>
    <w:p>
      <w:pPr>
        <w:pStyle w:val="null3"/>
      </w:pPr>
      <w:r>
        <w:rPr>
          <w:rFonts w:ascii="仿宋_GB2312" w:hAnsi="仿宋_GB2312" w:cs="仿宋_GB2312" w:eastAsia="仿宋_GB2312"/>
        </w:rPr>
        <w:t>联系电话：18119311406</w:t>
      </w:r>
    </w:p>
    <w:p>
      <w:pPr>
        <w:pStyle w:val="null3"/>
      </w:pPr>
      <w:r>
        <w:rPr>
          <w:rFonts w:ascii="仿宋_GB2312" w:hAnsi="仿宋_GB2312" w:cs="仿宋_GB2312" w:eastAsia="仿宋_GB2312"/>
        </w:rPr>
        <w:t>地址：西安市未央区凤城七路长和国际D座26楼</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多模态医疗数据融合平台项目。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多模态医疗数据融合平台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标的名称：多模态医疗数据融合平台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一、服务内容</w:t>
            </w:r>
          </w:p>
          <w:p>
            <w:pPr>
              <w:pStyle w:val="null3"/>
              <w:jc w:val="left"/>
            </w:pPr>
            <w:r>
              <w:rPr>
                <w:rFonts w:ascii="仿宋_GB2312" w:hAnsi="仿宋_GB2312" w:cs="仿宋_GB2312" w:eastAsia="仿宋_GB2312"/>
                <w:sz w:val="24"/>
              </w:rPr>
              <w:t>1.多模态医疗数据融合平台一套</w:t>
            </w:r>
          </w:p>
          <w:p>
            <w:pPr>
              <w:pStyle w:val="null3"/>
              <w:jc w:val="left"/>
            </w:pPr>
            <w:r>
              <w:rPr>
                <w:rFonts w:ascii="仿宋_GB2312" w:hAnsi="仿宋_GB2312" w:cs="仿宋_GB2312" w:eastAsia="仿宋_GB2312"/>
                <w:sz w:val="24"/>
              </w:rPr>
              <w:t>2.基于多模态医疗数据融合平台应用服务器一台</w:t>
            </w:r>
          </w:p>
          <w:p>
            <w:pPr>
              <w:pStyle w:val="null3"/>
              <w:jc w:val="left"/>
            </w:pPr>
            <w:r>
              <w:rPr>
                <w:rFonts w:ascii="仿宋_GB2312" w:hAnsi="仿宋_GB2312" w:cs="仿宋_GB2312" w:eastAsia="仿宋_GB2312"/>
                <w:sz w:val="24"/>
              </w:rPr>
              <w:t>3.包含多模态医疗数据融合平台应用平台中涉及的所有接口、调试等费用。</w:t>
            </w:r>
          </w:p>
          <w:p>
            <w:pPr>
              <w:pStyle w:val="null3"/>
              <w:jc w:val="both"/>
            </w:pPr>
            <w:r>
              <w:rPr>
                <w:rFonts w:ascii="仿宋_GB2312" w:hAnsi="仿宋_GB2312" w:cs="仿宋_GB2312" w:eastAsia="仿宋_GB2312"/>
                <w:sz w:val="24"/>
                <w:b/>
              </w:rPr>
              <w:t>二、技术要求</w:t>
            </w:r>
          </w:p>
          <w:tbl>
            <w:tblPr>
              <w:tblInd w:type="dxa" w:w="120"/>
              <w:tblBorders>
                <w:top w:val="none" w:color="000000" w:sz="4"/>
                <w:left w:val="none" w:color="000000" w:sz="4"/>
                <w:bottom w:val="none" w:color="000000" w:sz="4"/>
                <w:right w:val="none" w:color="000000" w:sz="4"/>
                <w:insideH w:val="none"/>
                <w:insideV w:val="none"/>
              </w:tblBorders>
            </w:tblPr>
            <w:tblGrid>
              <w:gridCol w:w="288"/>
              <w:gridCol w:w="474"/>
              <w:gridCol w:w="1790"/>
            </w:tblGrid>
            <w:tr>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功能</w:t>
                  </w:r>
                  <w:r>
                    <w:rPr>
                      <w:rFonts w:ascii="仿宋_GB2312" w:hAnsi="仿宋_GB2312" w:cs="仿宋_GB2312" w:eastAsia="仿宋_GB2312"/>
                      <w:sz w:val="24"/>
                    </w:rPr>
                    <w:t>/性能概述</w:t>
                  </w:r>
                </w:p>
              </w:tc>
              <w:tc>
                <w:tcPr>
                  <w:tcW w:type="dxa" w:w="17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具体要求</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系统架构</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B/S架构</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采用</w:t>
                  </w:r>
                  <w:r>
                    <w:rPr>
                      <w:rFonts w:ascii="仿宋_GB2312" w:hAnsi="仿宋_GB2312" w:cs="仿宋_GB2312" w:eastAsia="仿宋_GB2312"/>
                      <w:sz w:val="24"/>
                    </w:rPr>
                    <w:t>B/S架构，浏览器即可访问</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并发显示</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可多人并发访问，数据共享</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局域网部署</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可部署在局域网内，数据无需出院即可进行分析</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用户管理</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权限分配</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支持为不同用户分配权限</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角色管理</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预置系统管理员和普通用户两种角色</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系统管理员权限</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系统管理员可新增、删除用户、编辑用户权限、重置密码、查看任务状态、管控用户使用权限等</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2.4</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普通用户权限</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普通用户可创建课题并分配课题成员权限、修改个人密码等</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登录模块</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双语版本</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支持中英文版本切换</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登录时长管控</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支持管控登录时间</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4</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课题管理</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课题创建</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支持不同课题组创建</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课题信息自定义</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支持课题信息自定义</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课题编辑与删除</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支持课题编辑与删除</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4.4</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课题分类查看</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支持查看所有参数课题与个人创建课题</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课题查询</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支持按课题名称模糊查询</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4.6</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课题详情大盘展示</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支持数据及任务大盘展示</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4.7</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课题共享</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支持课题创建者分享课题给其他用户共同参与</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数据管理</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数据隔离</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科研课题及数据集管理，数据隔离保护</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数据集管理</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可按数据集存储与查看影像数据</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标准</w:t>
                  </w:r>
                  <w:r>
                    <w:rPr>
                      <w:rFonts w:ascii="仿宋_GB2312" w:hAnsi="仿宋_GB2312" w:cs="仿宋_GB2312" w:eastAsia="仿宋_GB2312"/>
                      <w:sz w:val="24"/>
                    </w:rPr>
                    <w:t>DICOM协议</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标准</w:t>
                  </w:r>
                  <w:r>
                    <w:rPr>
                      <w:rFonts w:ascii="仿宋_GB2312" w:hAnsi="仿宋_GB2312" w:cs="仿宋_GB2312" w:eastAsia="仿宋_GB2312"/>
                      <w:sz w:val="24"/>
                    </w:rPr>
                    <w:t>DICOM3.0数据接口，支持标准DICOM格式数据上传</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5.4</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多模态数据支持</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支持多模态影像数据，包括</w:t>
                  </w:r>
                  <w:r>
                    <w:rPr>
                      <w:rFonts w:ascii="仿宋_GB2312" w:hAnsi="仿宋_GB2312" w:cs="仿宋_GB2312" w:eastAsia="仿宋_GB2312"/>
                      <w:sz w:val="24"/>
                    </w:rPr>
                    <w:t>CT、MRI、DR、CR、MG、PET</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标注数据支持</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DICOM， *.mha,  *.mhd,  *.nii.gz, *.nii等数据格式</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5.6</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病理图像管理</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支持上传</w:t>
                  </w:r>
                  <w:r>
                    <w:rPr>
                      <w:rFonts w:ascii="仿宋_GB2312" w:hAnsi="仿宋_GB2312" w:cs="仿宋_GB2312" w:eastAsia="仿宋_GB2312"/>
                      <w:sz w:val="24"/>
                    </w:rPr>
                    <w:t>JPG格式病理图像至附件管理</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5.7</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数据查询</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支持按患者</w:t>
                  </w:r>
                  <w:r>
                    <w:rPr>
                      <w:rFonts w:ascii="仿宋_GB2312" w:hAnsi="仿宋_GB2312" w:cs="仿宋_GB2312" w:eastAsia="仿宋_GB2312"/>
                      <w:sz w:val="24"/>
                    </w:rPr>
                    <w:t>ID、患者姓名、检查号进行模糊查询；支持按检查信息、序列信息、临床信息、ROI信息进行高级检索</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5.8</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数据下载</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支持数据下载</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6</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图像浏览</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原始图像浏览</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包括窗宽窗位调整、图像缩放、图像反转等</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双视图阅片</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2个序列可同屏对比显示</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MPR重建</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MPR多平面重建</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6.4</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3D SR重建</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支持三维重建显示，对重建结果缩放、平移、任意角度旋转，按部位显示与隐藏，并对颜色、平滑度、透明度进行调节</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7</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图像标注</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手动绘制工具</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支持画笔、画刷、磁力套索、橡皮擦、撤销与重复工具手动标注</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手动测量与标记工具</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支持长度、角度、像素测量、矩形、椭圆、点、图像、序列等多种手动测量与标记工具</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AI半自动标注</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AI 半自动标注</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7.3.1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半自动识别</w:t>
                  </w:r>
                  <w:r>
                    <w:rPr>
                      <w:rFonts w:ascii="仿宋_GB2312" w:hAnsi="仿宋_GB2312" w:cs="仿宋_GB2312" w:eastAsia="仿宋_GB2312"/>
                      <w:sz w:val="24"/>
                    </w:rPr>
                    <w:t>ROI轮廓</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结合深度学习算法，框选后自动识别组织</w:t>
                  </w:r>
                  <w:r>
                    <w:rPr>
                      <w:rFonts w:ascii="仿宋_GB2312" w:hAnsi="仿宋_GB2312" w:cs="仿宋_GB2312" w:eastAsia="仿宋_GB2312"/>
                      <w:sz w:val="24"/>
                    </w:rPr>
                    <w:t>/病灶轮廓，提供证明材料并加盖公章</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7.3.2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交互式标注</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基于轮廓可进行点选交互式智能编辑</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7.3.3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传播标注</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支持多方向多层面传播标注，支持进行指定层面传播标注，提供证明材料并加盖公章</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7.4</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AI自动标注</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支持结合</w:t>
                  </w:r>
                  <w:r>
                    <w:rPr>
                      <w:rFonts w:ascii="仿宋_GB2312" w:hAnsi="仿宋_GB2312" w:cs="仿宋_GB2312" w:eastAsia="仿宋_GB2312"/>
                      <w:sz w:val="24"/>
                    </w:rPr>
                    <w:t>AI自动分割引擎，可对不同器官或病变进行自动标注</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第三方标注</w:t>
                  </w:r>
                  <w:r>
                    <w:rPr>
                      <w:rFonts w:ascii="仿宋_GB2312" w:hAnsi="仿宋_GB2312" w:cs="仿宋_GB2312" w:eastAsia="仿宋_GB2312"/>
                      <w:sz w:val="24"/>
                    </w:rPr>
                    <w:t>3D Slicer</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支持集成第三方标注工具</w:t>
                  </w:r>
                  <w:r>
                    <w:rPr>
                      <w:rFonts w:ascii="仿宋_GB2312" w:hAnsi="仿宋_GB2312" w:cs="仿宋_GB2312" w:eastAsia="仿宋_GB2312"/>
                      <w:sz w:val="24"/>
                    </w:rPr>
                    <w:t>3D Slicer</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8</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图像预处理</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批量预处理</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提供批量预处理功能</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ROI复制</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支持基于重采样或配准矩阵的不同序列间的</w:t>
                  </w:r>
                  <w:r>
                    <w:rPr>
                      <w:rFonts w:ascii="仿宋_GB2312" w:hAnsi="仿宋_GB2312" w:cs="仿宋_GB2312" w:eastAsia="仿宋_GB2312"/>
                      <w:sz w:val="24"/>
                    </w:rPr>
                    <w:t>ROI复制</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ROI逻辑运算</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ROI交集/并集/补集</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8.4</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阈值分割</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支持基于原图或分割区域的阈值分割</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ROI腐蚀膨胀</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ROI腐蚀膨胀</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9</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AI自动标注</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全自动分割算法</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提供基于人工智能的自动分割模型，自动分割模型＞</w:t>
                  </w:r>
                  <w:r>
                    <w:rPr>
                      <w:rFonts w:ascii="仿宋_GB2312" w:hAnsi="仿宋_GB2312" w:cs="仿宋_GB2312" w:eastAsia="仿宋_GB2312"/>
                      <w:sz w:val="24"/>
                    </w:rPr>
                    <w:t>150种，包括CT、MRI、DR图像</w:t>
                  </w:r>
                  <w:r>
                    <w:rPr>
                      <w:rFonts w:ascii="仿宋_GB2312" w:hAnsi="仿宋_GB2312" w:cs="仿宋_GB2312" w:eastAsia="仿宋_GB2312"/>
                      <w:sz w:val="24"/>
                      <w:b/>
                    </w:rPr>
                    <w:t>，</w:t>
                  </w:r>
                  <w:r>
                    <w:rPr>
                      <w:rFonts w:ascii="仿宋_GB2312" w:hAnsi="仿宋_GB2312" w:cs="仿宋_GB2312" w:eastAsia="仿宋_GB2312"/>
                      <w:sz w:val="24"/>
                    </w:rPr>
                    <w:t>提供明细列表说明并加盖公章</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批量分割</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支持进行批量自动分割</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CT胸部分割</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包含：主动脉、气管、食管、锁骨上淋巴结、左锁骨上淋巴结、右锁骨上淋巴结、肺、左肺、右肺、肺炎、肺结节、肺叶、左肺叶、右肺叶、肺段、左肺段、右肺段、胸壁、左胸壁、右胸壁、臂丛、左臂丛、右臂丛、乳腺、左乳腺、右乳腺、肋骨、肩胛骨</w:t>
                  </w:r>
                  <w:r>
                    <w:rPr>
                      <w:rFonts w:ascii="仿宋_GB2312" w:hAnsi="仿宋_GB2312" w:cs="仿宋_GB2312" w:eastAsia="仿宋_GB2312"/>
                      <w:sz w:val="24"/>
                    </w:rPr>
                    <w:t>/锁骨/胸骨、纵隔淋巴结、内乳淋巴结、左内乳淋巴结、右内乳淋巴结、腋下淋巴结、左腋下淋巴结、右腋下淋巴结</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10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影像组学分析</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一站式可视化组学分析</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影像组学分析过程全部采用可视化操作，无需编写代码</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特征提取</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支持组学任务创建，自动提取影像特征</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10.2.1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ICC分析</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ICC分析</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10.2.2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特征值提取</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提取特征值</w:t>
                  </w:r>
                  <w:r>
                    <w:rPr>
                      <w:rFonts w:ascii="仿宋_GB2312" w:hAnsi="仿宋_GB2312" w:cs="仿宋_GB2312" w:eastAsia="仿宋_GB2312"/>
                      <w:sz w:val="24"/>
                    </w:rPr>
                    <w:t>≥2000种</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10.2.3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滤波器</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可调用</w:t>
                  </w:r>
                  <w:r>
                    <w:rPr>
                      <w:rFonts w:ascii="仿宋_GB2312" w:hAnsi="仿宋_GB2312" w:cs="仿宋_GB2312" w:eastAsia="仿宋_GB2312"/>
                      <w:sz w:val="24"/>
                    </w:rPr>
                    <w:t>≥15种滤波器进行特征提取，提供明细列表说明并加盖公章</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10.2.4</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组学特征</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可提取</w:t>
                  </w:r>
                  <w:r>
                    <w:rPr>
                      <w:rFonts w:ascii="仿宋_GB2312" w:hAnsi="仿宋_GB2312" w:cs="仿宋_GB2312" w:eastAsia="仿宋_GB2312"/>
                      <w:sz w:val="24"/>
                    </w:rPr>
                    <w:t>≥7大类组学特征</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10.2.5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归一化预处理</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w:t>
                  </w:r>
                  <w:r>
                    <w:rPr>
                      <w:rFonts w:ascii="仿宋_GB2312" w:hAnsi="仿宋_GB2312" w:cs="仿宋_GB2312" w:eastAsia="仿宋_GB2312"/>
                      <w:sz w:val="24"/>
                    </w:rPr>
                    <w:t>≥4种图像归一化预处理</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10.2.6</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特征值</w:t>
                  </w:r>
                  <w:r>
                    <w:rPr>
                      <w:rFonts w:ascii="仿宋_GB2312" w:hAnsi="仿宋_GB2312" w:cs="仿宋_GB2312" w:eastAsia="仿宋_GB2312"/>
                      <w:sz w:val="24"/>
                    </w:rPr>
                    <w:t>ICC结果导出</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支持各特征值</w:t>
                  </w:r>
                  <w:r>
                    <w:rPr>
                      <w:rFonts w:ascii="仿宋_GB2312" w:hAnsi="仿宋_GB2312" w:cs="仿宋_GB2312" w:eastAsia="仿宋_GB2312"/>
                      <w:sz w:val="24"/>
                    </w:rPr>
                    <w:t>ICC结果导出</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自定义特征表格上传</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支持自定义特征表格上传，进行组学分析</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10.3.1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特征表格校验</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支持自定义特征表格校验，包括</w:t>
                  </w:r>
                  <w:r>
                    <w:rPr>
                      <w:rFonts w:ascii="仿宋_GB2312" w:hAnsi="仿宋_GB2312" w:cs="仿宋_GB2312" w:eastAsia="仿宋_GB2312"/>
                      <w:sz w:val="24"/>
                    </w:rPr>
                    <w:t>label列非数字、特征值非小数</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10.3.2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错误定位</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自动定位自定义特征表格错误位置，便于用户修改</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10.4</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数据分组</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3种数据分组方式，支持指定训练集/测试集、随机划分训练-测试和K折交叉验证</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特征选择</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支持特征选择</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10.5.1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特征归一化</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w:t>
                  </w:r>
                  <w:r>
                    <w:rPr>
                      <w:rFonts w:ascii="仿宋_GB2312" w:hAnsi="仿宋_GB2312" w:cs="仿宋_GB2312" w:eastAsia="仿宋_GB2312"/>
                      <w:sz w:val="24"/>
                    </w:rPr>
                    <w:t>≥3种特征归一化方法</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10.5.2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特征选择流程</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支持串行、并行两种方式进行特征选择训练</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10.5.3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特征选择方法</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提供组学特征选择方法</w:t>
                  </w:r>
                  <w:r>
                    <w:rPr>
                      <w:rFonts w:ascii="仿宋_GB2312" w:hAnsi="仿宋_GB2312" w:cs="仿宋_GB2312" w:eastAsia="仿宋_GB2312"/>
                      <w:sz w:val="24"/>
                    </w:rPr>
                    <w:t>≥10种</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10.6</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组学模型构建</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支持点选式构建组学模型</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10.6.1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预处理器</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提供组学建模预处理器</w:t>
                  </w:r>
                  <w:r>
                    <w:rPr>
                      <w:rFonts w:ascii="仿宋_GB2312" w:hAnsi="仿宋_GB2312" w:cs="仿宋_GB2312" w:eastAsia="仿宋_GB2312"/>
                      <w:sz w:val="24"/>
                    </w:rPr>
                    <w:t>≥8种</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10.6.2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特征降维</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提供组学特征降维方法</w:t>
                  </w:r>
                  <w:r>
                    <w:rPr>
                      <w:rFonts w:ascii="仿宋_GB2312" w:hAnsi="仿宋_GB2312" w:cs="仿宋_GB2312" w:eastAsia="仿宋_GB2312"/>
                      <w:sz w:val="24"/>
                    </w:rPr>
                    <w:t>≥15种</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10.6.3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机器学习算法</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w:t>
                  </w:r>
                  <w:r>
                    <w:rPr>
                      <w:rFonts w:ascii="仿宋_GB2312" w:hAnsi="仿宋_GB2312" w:cs="仿宋_GB2312" w:eastAsia="仿宋_GB2312"/>
                      <w:sz w:val="24"/>
                    </w:rPr>
                    <w:t>≥14种机器学习模型，提供证明材料并加盖公章</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10.6.4</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模型指标下载</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支持模型指标下载</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10.6.5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模型结果可视化</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支持模型结果可视化，包括：</w:t>
                  </w:r>
                  <w:r>
                    <w:rPr>
                      <w:rFonts w:ascii="仿宋_GB2312" w:hAnsi="仿宋_GB2312" w:cs="仿宋_GB2312" w:eastAsia="仿宋_GB2312"/>
                      <w:sz w:val="24"/>
                    </w:rPr>
                    <w:t>ROC曲线、混淆矩阵、校正曲线、决策曲线、列线图、相关热图、小提琴图、预测曲线、散点图、KM曲线等多种图表</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10.7</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组学模型对比</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支持多个模型结果对比</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10.8</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组学模型外部验证</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支持模型外部验证</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10.8.1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本地数据集外部验证</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支持独立验证集进行模型验证分析</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10.8.2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特征表格上传外部验证</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支持上传特征表格进行模型验证</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10.8.3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外部验证特征表格校验</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支持特征表格的校验，包括</w:t>
                  </w:r>
                  <w:r>
                    <w:rPr>
                      <w:rFonts w:ascii="仿宋_GB2312" w:hAnsi="仿宋_GB2312" w:cs="仿宋_GB2312" w:eastAsia="仿宋_GB2312"/>
                      <w:sz w:val="24"/>
                    </w:rPr>
                    <w:t>Label列非数字、特征值非小数</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10.8.4</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外部验证特征表格错误定位</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自动定位自定义特征表格错误位置，便于用户修改</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10.8.5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分类与回归模型外部验证指标输出</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支持分类与回归模型验证指标输出，包括</w:t>
                  </w:r>
                  <w:r>
                    <w:rPr>
                      <w:rFonts w:ascii="仿宋_GB2312" w:hAnsi="仿宋_GB2312" w:cs="仿宋_GB2312" w:eastAsia="仿宋_GB2312"/>
                      <w:sz w:val="24"/>
                    </w:rPr>
                    <w:t>AUC、准确率、F1 score、精确率、灵敏度、特异度</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10.8.6</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生存分析外部验证指标输出</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支持生存分析模型验证指标输出，包括</w:t>
                  </w:r>
                  <w:r>
                    <w:rPr>
                      <w:rFonts w:ascii="仿宋_GB2312" w:hAnsi="仿宋_GB2312" w:cs="仿宋_GB2312" w:eastAsia="仿宋_GB2312"/>
                      <w:sz w:val="24"/>
                    </w:rPr>
                    <w:t>C_index、C_index 95%置信区间、AIC、ICI、E50、P值</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10.8.7</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外部验证结果可视化</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支持外部验证结果可视化，包括</w:t>
                  </w:r>
                  <w:r>
                    <w:rPr>
                      <w:rFonts w:ascii="仿宋_GB2312" w:hAnsi="仿宋_GB2312" w:cs="仿宋_GB2312" w:eastAsia="仿宋_GB2312"/>
                      <w:sz w:val="24"/>
                    </w:rPr>
                    <w:t>ROC曲线、混淆矩阵、KM曲线、校正曲线、决策曲线，提供明细列表说明并加盖公章</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11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统计分析</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Demographic Table</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11.1.1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自动生成</w:t>
                  </w:r>
                  <w:r>
                    <w:rPr>
                      <w:rFonts w:ascii="仿宋_GB2312" w:hAnsi="仿宋_GB2312" w:cs="仿宋_GB2312" w:eastAsia="仿宋_GB2312"/>
                      <w:sz w:val="24"/>
                    </w:rPr>
                    <w:t>Demographic Table</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可视化操作，自动生成</w:t>
                  </w:r>
                  <w:r>
                    <w:rPr>
                      <w:rFonts w:ascii="仿宋_GB2312" w:hAnsi="仿宋_GB2312" w:cs="仿宋_GB2312" w:eastAsia="仿宋_GB2312"/>
                      <w:sz w:val="24"/>
                    </w:rPr>
                    <w:t>Demographic Table</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11.1.2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自动划分数据类型</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支持自动划分数据类型，包括分类变量、正态连续变量、偏态连续变量</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11.1.3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数据类型编辑</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用户可手动修改变量类型，并重新计算</w:t>
                  </w:r>
                  <w:r>
                    <w:rPr>
                      <w:rFonts w:ascii="仿宋_GB2312" w:hAnsi="仿宋_GB2312" w:cs="仿宋_GB2312" w:eastAsia="仿宋_GB2312"/>
                      <w:sz w:val="24"/>
                    </w:rPr>
                    <w:t>Demographic Table</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11.1.4</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定性数据分析</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支持对定性数据进行多种检验，包括</w:t>
                  </w:r>
                  <w:r>
                    <w:rPr>
                      <w:rFonts w:ascii="仿宋_GB2312" w:hAnsi="仿宋_GB2312" w:cs="仿宋_GB2312" w:eastAsia="仿宋_GB2312"/>
                      <w:sz w:val="24"/>
                    </w:rPr>
                    <w:t>Pearson 卡方检验、连续性校正卡方检验、Fisher 精确检验和 Fredman 秩和检验，提供明细列表说明并加盖公章</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11.1.5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定量数据分析</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支持对定量数据进行多种检验，包括独立样本</w:t>
                  </w:r>
                  <w:r>
                    <w:rPr>
                      <w:rFonts w:ascii="仿宋_GB2312" w:hAnsi="仿宋_GB2312" w:cs="仿宋_GB2312" w:eastAsia="仿宋_GB2312"/>
                      <w:sz w:val="24"/>
                    </w:rPr>
                    <w:t>t 检验、Mann-Whitney U 检验、单因素方差分析和 Kruskal-Wallis H 检验，提供证明材料并加盖公章</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11.1.6</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图表下载</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提供高清</w:t>
                  </w:r>
                  <w:r>
                    <w:rPr>
                      <w:rFonts w:ascii="仿宋_GB2312" w:hAnsi="仿宋_GB2312" w:cs="仿宋_GB2312" w:eastAsia="仿宋_GB2312"/>
                      <w:sz w:val="24"/>
                    </w:rPr>
                    <w:t>Demographic Table 图表下载</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11.1.7</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表格下载</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Demographic Table.xlsx 表格下载</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服务器</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操作系统：国产操作系统</w:t>
                  </w:r>
                </w:p>
                <w:p>
                  <w:pPr>
                    <w:pStyle w:val="null3"/>
                  </w:pPr>
                  <w:r>
                    <w:rPr>
                      <w:rFonts w:ascii="仿宋_GB2312" w:hAnsi="仿宋_GB2312" w:cs="仿宋_GB2312" w:eastAsia="仿宋_GB2312"/>
                      <w:sz w:val="24"/>
                    </w:rPr>
                    <w:t>处理器：国产，要求处理器核心</w:t>
                  </w:r>
                  <w:r>
                    <w:rPr>
                      <w:rFonts w:ascii="仿宋_GB2312" w:hAnsi="仿宋_GB2312" w:cs="仿宋_GB2312" w:eastAsia="仿宋_GB2312"/>
                      <w:sz w:val="24"/>
                    </w:rPr>
                    <w:t>≥48核，主频≥2.5GHz</w:t>
                  </w:r>
                </w:p>
                <w:p>
                  <w:pPr>
                    <w:pStyle w:val="null3"/>
                  </w:pPr>
                  <w:r>
                    <w:rPr>
                      <w:rFonts w:ascii="仿宋_GB2312" w:hAnsi="仿宋_GB2312" w:cs="仿宋_GB2312" w:eastAsia="仿宋_GB2312"/>
                      <w:sz w:val="24"/>
                    </w:rPr>
                    <w:t>内存：</w:t>
                  </w:r>
                  <w:r>
                    <w:rPr>
                      <w:rFonts w:ascii="仿宋_GB2312" w:hAnsi="仿宋_GB2312" w:cs="仿宋_GB2312" w:eastAsia="仿宋_GB2312"/>
                      <w:sz w:val="24"/>
                    </w:rPr>
                    <w:t>≥128G</w:t>
                  </w:r>
                </w:p>
                <w:p>
                  <w:pPr>
                    <w:pStyle w:val="null3"/>
                  </w:pPr>
                  <w:r>
                    <w:rPr>
                      <w:rFonts w:ascii="仿宋_GB2312" w:hAnsi="仿宋_GB2312" w:cs="仿宋_GB2312" w:eastAsia="仿宋_GB2312"/>
                      <w:sz w:val="24"/>
                    </w:rPr>
                    <w:t>硬盘：</w:t>
                  </w:r>
                  <w:r>
                    <w:rPr>
                      <w:rFonts w:ascii="仿宋_GB2312" w:hAnsi="仿宋_GB2312" w:cs="仿宋_GB2312" w:eastAsia="仿宋_GB2312"/>
                      <w:sz w:val="24"/>
                    </w:rPr>
                    <w:t>≥1T</w:t>
                  </w:r>
                </w:p>
                <w:p>
                  <w:pPr>
                    <w:pStyle w:val="null3"/>
                  </w:pPr>
                  <w:r>
                    <w:rPr>
                      <w:rFonts w:ascii="仿宋_GB2312" w:hAnsi="仿宋_GB2312" w:cs="仿宋_GB2312" w:eastAsia="仿宋_GB2312"/>
                      <w:sz w:val="24"/>
                    </w:rPr>
                    <w:t>显卡</w:t>
                  </w:r>
                  <w:r>
                    <w:rPr>
                      <w:rFonts w:ascii="仿宋_GB2312" w:hAnsi="仿宋_GB2312" w:cs="仿宋_GB2312" w:eastAsia="仿宋_GB2312"/>
                      <w:sz w:val="24"/>
                    </w:rPr>
                    <w:t>:国产，显存≥24G</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接口</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包含多模态医疗数据融合平台涉及所有接口费用。</w:t>
                  </w:r>
                </w:p>
              </w:tc>
            </w:tr>
          </w:tbl>
          <w:p>
            <w:pPr>
              <w:pStyle w:val="null3"/>
              <w:jc w:val="both"/>
            </w:pPr>
            <w:r>
              <w:rPr>
                <w:rFonts w:ascii="仿宋_GB2312" w:hAnsi="仿宋_GB2312" w:cs="仿宋_GB2312" w:eastAsia="仿宋_GB2312"/>
                <w:sz w:val="24"/>
                <w:b/>
              </w:rPr>
              <w:t>三、服务要求</w:t>
            </w:r>
          </w:p>
          <w:p>
            <w:pPr>
              <w:pStyle w:val="null3"/>
              <w:jc w:val="both"/>
            </w:pPr>
            <w:r>
              <w:rPr>
                <w:rFonts w:ascii="仿宋_GB2312" w:hAnsi="仿宋_GB2312" w:cs="仿宋_GB2312" w:eastAsia="仿宋_GB2312"/>
                <w:sz w:val="24"/>
              </w:rPr>
              <w:t>在合同执行过程中需要服务商应执行的相关服务标准和相关义务。</w:t>
            </w:r>
          </w:p>
          <w:p>
            <w:pPr>
              <w:pStyle w:val="null3"/>
              <w:jc w:val="both"/>
            </w:pPr>
            <w:r>
              <w:rPr>
                <w:rFonts w:ascii="仿宋_GB2312" w:hAnsi="仿宋_GB2312" w:cs="仿宋_GB2312" w:eastAsia="仿宋_GB2312"/>
                <w:sz w:val="24"/>
              </w:rPr>
              <w:t>1，服务要求：服务期间需满足7×24小时的技术支持各类故障问题解决及处理，支持客户热线电话、传真、EMAIL、在线支持及现场服务，解答应用中的各种问题。</w:t>
            </w:r>
          </w:p>
          <w:p>
            <w:pPr>
              <w:pStyle w:val="null3"/>
              <w:jc w:val="both"/>
            </w:pPr>
            <w:r>
              <w:rPr>
                <w:rFonts w:ascii="仿宋_GB2312" w:hAnsi="仿宋_GB2312" w:cs="仿宋_GB2312" w:eastAsia="仿宋_GB2312"/>
                <w:sz w:val="24"/>
              </w:rPr>
              <w:t>2，部署要求：依照规范进行系统调试、安装和部署等；有切实的人员配置与沟通机制；</w:t>
            </w:r>
          </w:p>
          <w:p>
            <w:pPr>
              <w:pStyle w:val="null3"/>
              <w:jc w:val="both"/>
            </w:pPr>
            <w:r>
              <w:rPr>
                <w:rFonts w:ascii="仿宋_GB2312" w:hAnsi="仿宋_GB2312" w:cs="仿宋_GB2312" w:eastAsia="仿宋_GB2312"/>
                <w:sz w:val="24"/>
              </w:rPr>
              <w:t>3，培训要求：</w:t>
            </w:r>
          </w:p>
          <w:p>
            <w:pPr>
              <w:pStyle w:val="null3"/>
              <w:numPr>
                <w:ilvl w:val="0"/>
                <w:numId w:val="1"/>
              </w:numPr>
              <w:jc w:val="both"/>
            </w:pPr>
            <w:r>
              <w:rPr>
                <w:rFonts w:ascii="仿宋_GB2312" w:hAnsi="仿宋_GB2312" w:cs="仿宋_GB2312" w:eastAsia="仿宋_GB2312"/>
                <w:sz w:val="24"/>
              </w:rPr>
              <w:t>就培训服务有保证，针对培训流程有规范化流程；</w:t>
            </w:r>
          </w:p>
          <w:p>
            <w:pPr>
              <w:pStyle w:val="null3"/>
              <w:numPr>
                <w:ilvl w:val="0"/>
                <w:numId w:val="1"/>
              </w:numPr>
              <w:jc w:val="both"/>
            </w:pPr>
            <w:r>
              <w:rPr>
                <w:rFonts w:ascii="仿宋_GB2312" w:hAnsi="仿宋_GB2312" w:cs="仿宋_GB2312" w:eastAsia="仿宋_GB2312"/>
                <w:sz w:val="24"/>
              </w:rPr>
              <w:t>培训方式：依医院需求灵活响应，对于需要补训的积极安排时间响应。</w:t>
            </w:r>
          </w:p>
          <w:p>
            <w:pPr>
              <w:pStyle w:val="null3"/>
              <w:jc w:val="both"/>
            </w:pPr>
            <w:r>
              <w:rPr>
                <w:rFonts w:ascii="仿宋_GB2312" w:hAnsi="仿宋_GB2312" w:cs="仿宋_GB2312" w:eastAsia="仿宋_GB2312"/>
                <w:sz w:val="24"/>
              </w:rPr>
              <w:t>4.服务团队要求：要求提供售后服务团队提供专业化的支持服务工作，如系统对接服务团队、专业运维服务团队、培训讲师服务团队、全天候在线服务团队。</w:t>
            </w:r>
          </w:p>
          <w:p>
            <w:pPr>
              <w:pStyle w:val="null3"/>
              <w:jc w:val="both"/>
            </w:pPr>
            <w:r>
              <w:rPr>
                <w:rFonts w:ascii="仿宋_GB2312" w:hAnsi="仿宋_GB2312" w:cs="仿宋_GB2312" w:eastAsia="仿宋_GB2312"/>
                <w:sz w:val="24"/>
              </w:rPr>
              <w:t>5.本次项目包含所有接口费用。</w:t>
            </w:r>
          </w:p>
          <w:p>
            <w:pPr>
              <w:pStyle w:val="null3"/>
              <w:jc w:val="both"/>
            </w:pPr>
            <w:r>
              <w:rPr>
                <w:rFonts w:ascii="仿宋_GB2312" w:hAnsi="仿宋_GB2312" w:cs="仿宋_GB2312" w:eastAsia="仿宋_GB2312"/>
                <w:sz w:val="24"/>
                <w:b/>
              </w:rPr>
              <w:t>四、商务要求</w:t>
            </w:r>
          </w:p>
          <w:p>
            <w:pPr>
              <w:pStyle w:val="null3"/>
              <w:jc w:val="both"/>
            </w:pPr>
            <w:r>
              <w:rPr>
                <w:rFonts w:ascii="仿宋_GB2312" w:hAnsi="仿宋_GB2312" w:cs="仿宋_GB2312" w:eastAsia="仿宋_GB2312"/>
                <w:sz w:val="24"/>
              </w:rPr>
              <w:t>（一）服务期限：自验收之日起</w:t>
            </w:r>
            <w:r>
              <w:rPr>
                <w:rFonts w:ascii="仿宋_GB2312" w:hAnsi="仿宋_GB2312" w:cs="仿宋_GB2312" w:eastAsia="仿宋_GB2312"/>
                <w:sz w:val="24"/>
              </w:rPr>
              <w:t>3年。</w:t>
            </w:r>
          </w:p>
          <w:p>
            <w:pPr>
              <w:pStyle w:val="null3"/>
              <w:jc w:val="both"/>
            </w:pPr>
            <w:r>
              <w:rPr>
                <w:rFonts w:ascii="仿宋_GB2312" w:hAnsi="仿宋_GB2312" w:cs="仿宋_GB2312" w:eastAsia="仿宋_GB2312"/>
                <w:sz w:val="24"/>
              </w:rPr>
              <w:t>（二）款项结算：自合同签订后，系统软及硬件安装调试完成并取得验收报告合格之日起</w:t>
            </w:r>
            <w:r>
              <w:rPr>
                <w:rFonts w:ascii="仿宋_GB2312" w:hAnsi="仿宋_GB2312" w:cs="仿宋_GB2312" w:eastAsia="仿宋_GB2312"/>
                <w:sz w:val="24"/>
                <w:u w:val="single"/>
              </w:rPr>
              <w:t>20</w:t>
            </w:r>
            <w:r>
              <w:rPr>
                <w:rFonts w:ascii="仿宋_GB2312" w:hAnsi="仿宋_GB2312" w:cs="仿宋_GB2312" w:eastAsia="仿宋_GB2312"/>
                <w:sz w:val="24"/>
              </w:rPr>
              <w:t>个工作日内支付合同额的</w:t>
            </w:r>
            <w:r>
              <w:rPr>
                <w:rFonts w:ascii="仿宋_GB2312" w:hAnsi="仿宋_GB2312" w:cs="仿宋_GB2312" w:eastAsia="仿宋_GB2312"/>
                <w:sz w:val="24"/>
                <w:u w:val="single"/>
              </w:rPr>
              <w:t>100%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五、其他要求</w:t>
            </w:r>
          </w:p>
          <w:p>
            <w:pPr>
              <w:pStyle w:val="null3"/>
              <w:jc w:val="both"/>
            </w:pPr>
            <w:r>
              <w:rPr>
                <w:rFonts w:ascii="仿宋_GB2312" w:hAnsi="仿宋_GB2312" w:cs="仿宋_GB2312" w:eastAsia="仿宋_GB2312"/>
                <w:sz w:val="24"/>
              </w:rPr>
              <w:t>1、进度要求：合同签订之日起20个工作日。</w:t>
            </w:r>
          </w:p>
          <w:p>
            <w:pPr>
              <w:pStyle w:val="null3"/>
              <w:jc w:val="both"/>
            </w:pPr>
            <w:r>
              <w:rPr>
                <w:rFonts w:ascii="仿宋_GB2312" w:hAnsi="仿宋_GB2312" w:cs="仿宋_GB2312" w:eastAsia="仿宋_GB2312"/>
                <w:sz w:val="24"/>
              </w:rPr>
              <w:t>2、成果交付要求：明确服务商应提交的最终成果内容、规格和数量等</w:t>
            </w:r>
          </w:p>
          <w:p>
            <w:pPr>
              <w:pStyle w:val="null3"/>
              <w:jc w:val="both"/>
            </w:pPr>
            <w:r>
              <w:rPr>
                <w:rFonts w:ascii="仿宋_GB2312" w:hAnsi="仿宋_GB2312" w:cs="仿宋_GB2312" w:eastAsia="仿宋_GB2312"/>
                <w:sz w:val="24"/>
              </w:rPr>
              <w:t>3、验收标准或规范：现行的国家标准或国家行政部门颁布的法律法规、规章制度等，没有国家标准的可参考行业标准。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现行的国家标准或国家行政部门颁布的法律法规、规章制度等，没有国家标准的可参考行业标准。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自合同签订后，系统软及硬件安装调试完成并取得验收报告合格之日起20个工作日内支付合同额的100%。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（一）按《政府采购法》、《民法典》中的相关条款执行。 （二）未按合同要求提供货物或质量不能满足招标技术要求，乙方必须无条件更换，提高技术，完善质量，否则，甲方有权终止合同，并对乙方的违约行为报监管机构进行相应的处罚，要求乙方赔偿甲方质量不合格产品价款的2倍作为违约金。 （三）乙方不能按期交货，每延迟一天，乙方应偿付甲方总货款的0.5%的迟延违约金，违约金可累计计算。超过30天未交货，甲方有权解除合同，乙方应赔偿甲方总货款的30%作为违约金。 （四）合同签订后，若实施方提供产品（服务）与投标响应文件不符，招标方有权终止合同并要求实施方返还全部已支付款项。</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成交单位在领取成交通知书时，需提供一正两副磋商响应文件。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提供具有财务审计资质单位出具的2024年度财务报告或磋商前六个月内其基本账户银行出具的资信证明或财政部门认可的政府采购专业担保机构出具的担保函，以上形式的证明资料提供任何一种即可。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存的磋商时间前6个月内任一个月（磋商截止时间当月不计入）的社会保障资金缴存单据或社保机构开具的社会保险参保缴费情况证明。成立时间至提交响应文件截止时间不足一个月或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提供已缴存的磋商时间前 6个月内任一个月（磋商截止时间当月不计入）的的纳税证明或完税证明，纳税证明或完税证明上应有代收机构或税务机关的公章或业务专用章。依法免税的供应商应提供相关文件证明。成立时间至提交响应文件截止时间不足一个月或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（1）出具履行合同所必需的设备和专业技术能力的书面声明；（2）出具参加本次政府采购活动无重大违法记录的书面声明。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法定代表人直接参加的须出具法人身份证明并于营业执照信息一致，法定代表人授权代表参加的须出具法定代表人授权书。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供应商应提供中小企业声明函</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（1）磋商报价符合唯一性要求：（2）磋商报价表填写符合要求；（3）计量单位、报价货币均符合磋商文件要求；（4）未超出采购预算或磋商文件规定的最高限价。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商务及技术要求偏离表 分项报价表 中小企业声明函 企业基本情况 报价表 响应文件封面 资格证明文件 类似项目业绩 残疾人福利性单位声明函 服务方案 标的清单 陕西省政府采购供应商拒绝政府采购领域商业贿赂承诺书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设备（产品）参数、规格型号、性能等技术说明资料。全部满足磋商文件要求得20分。响应但个别指标出现负偏离的得10分（应提供相应的证明文件，未提供相对应的证明材料者，视为负偏离，不得分。证明材料不限于检测报告、试验报告、产品彩页、厂家出具的技术证明文件、功能截图等，证明材料须呈现相应功能。若未体现，按负偏离处理。供应商自行承担因材料提供不全导致的技术参数评审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产品功能</w:t>
            </w:r>
          </w:p>
        </w:tc>
        <w:tc>
          <w:tcPr>
            <w:tcW w:type="dxa" w:w="2492"/>
          </w:tcPr>
          <w:p>
            <w:pPr>
              <w:pStyle w:val="null3"/>
            </w:pPr>
            <w:r>
              <w:rPr>
                <w:rFonts w:ascii="仿宋_GB2312" w:hAnsi="仿宋_GB2312" w:cs="仿宋_GB2312" w:eastAsia="仿宋_GB2312"/>
              </w:rPr>
              <w:t>产品配置齐全、选型合理、规格描述详细、技术工艺先进，各部分功能配置合理实用、性能稳定，能够实现建设目标，满足项目需求，得15分；产品配置齐全、选型较合理、规格描述较详细，各部分功能配置较合理，能够实现建设目标，得10分；产品配置齐全、选型基本合理、规格描述基本详细，各部分功能配置基本合理，基本能够实现建设目标，得5分；产品配置不齐全或无法实现建设目标，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供货、配送、安装、产品测试验收方案</w:t>
            </w:r>
          </w:p>
        </w:tc>
        <w:tc>
          <w:tcPr>
            <w:tcW w:type="dxa" w:w="2492"/>
          </w:tcPr>
          <w:p>
            <w:pPr>
              <w:pStyle w:val="null3"/>
            </w:pPr>
            <w:r>
              <w:rPr>
                <w:rFonts w:ascii="仿宋_GB2312" w:hAnsi="仿宋_GB2312" w:cs="仿宋_GB2312" w:eastAsia="仿宋_GB2312"/>
              </w:rPr>
              <w:t>提供针对本项目的供货、配送、安装、产品测试验收方案。 方案全面完整，针对性强，合理可行、可操作性强，完全满足项目实际需求，得10分；方案较全面完整，针对性较强，合理可行、可操作性较强，满足项目实际需求得7分；方案不够全面完整，没有针对性，得4分；未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提供可行的售后服务计划、售后服务措施、服务承诺等内容。售后服务计划、售后服务措施、服务承诺全面详细，合理可行、可操作性强，完全满足项目实施需求，得10分；售后服务计划、售后服务措施、服务承诺较详细，较合理可行、可操作性较强，满足项目实施需求，得7分；售后服务计划、售后服务措施、服务承诺不够全面详细，可操作性不强，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售后服务机构</w:t>
            </w:r>
          </w:p>
        </w:tc>
        <w:tc>
          <w:tcPr>
            <w:tcW w:type="dxa" w:w="2492"/>
          </w:tcPr>
          <w:p>
            <w:pPr>
              <w:pStyle w:val="null3"/>
            </w:pPr>
            <w:r>
              <w:rPr>
                <w:rFonts w:ascii="仿宋_GB2312" w:hAnsi="仿宋_GB2312" w:cs="仿宋_GB2312" w:eastAsia="仿宋_GB2312"/>
              </w:rPr>
              <w:t>提供制造商售后服务机构证明文件和工程师名单及联系电话。根据制造商服务网点分布列表，网点工程师名单，联系方式等信息及相关资料，信息完整，资料详细，得5分；提供制造商服务网点分布列表，网点工程师名单，联系方式等信息及相关资料，资料相对完整，部分内容有缺失，得3分；制造商服务网点分布列表，网点工程师名单，联系方式等信息及相关资料，信息不完整，资料较少，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供应商制定完善的培训服务方案，保证使用单位能熟练操作和正常使用。培训服务方案详细可行，得10分；提供培训服务方案，方案内容基本合理，针对性不强，缺乏可操作性，得7分；提供培训服务方案，方案内容不全，不具备可行性，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设备使用期间可能会发生的故障，及故障发生后的响应时间及补救方案。方案中风险故障考虑全面，故障发生后响应时间及时、补救方案合理可行、可操作性强，完全可以保障医院设备的使用需求，得5分；方案中风险故障考虑较全面，故障发生后响应时间及时、补救方案较为合理可行、可操作性较强，得3分；方案中风险故障考虑不够全面，故障发生后响应时间不及时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供应商单位提供自2022年9月1日以来（以合同签订时间为准）类似项目业绩，每提供1份得 2.5分，满分10分。 注：须提供合同 （协议），以合同（协议）签订时间为准。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供应商投标报价满足磋商文件要求，且最低价为评审基准价，其价格分为满分。报价得分=（评审基准价／磋商报价）×权值×100。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详见附件：企业基本情况</w:t>
      </w:r>
    </w:p>
    <w:p>
      <w:pPr>
        <w:pStyle w:val="null3"/>
        <w:ind w:firstLine="960"/>
      </w:pPr>
      <w:r>
        <w:rPr>
          <w:rFonts w:ascii="仿宋_GB2312" w:hAnsi="仿宋_GB2312" w:cs="仿宋_GB2312" w:eastAsia="仿宋_GB2312"/>
        </w:rPr>
        <w:t>详见附件：商务及技术要求偏离表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详见附件：类似项目业绩</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