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版本号：DX2025-24920251103001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眼科光学相干断层扫描仪（OCTA）</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DX2025-249</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眼科光学相干断层扫描仪（OCTA）</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眼科光学相干断层扫描仪（OCTA）</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西安市第一医院眼科光学相干断层扫描仪（OCTA）。</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完整的财务审计报告；或投标前六个月内其基本账户银行出具的资信证明；或财政部门认可的政府采购专业担保机构出具的担保函，以上形式的证明资料提供任何一种即可。 3、提供已缴存的 2024年10月1日以来至少三个月的社会保障资金缴存单据或社保机构开具的社会保险参保缴费情况证明。成立时间至提交响应文件截止时间不足一个月或依法不需要缴纳社会保障资金的供应商应提供相关文件证明。 4、提供已缴纳的 2024年10月1日以来至少三个月的纳税证明或完税证明，纳税证明或完税证明上应有代收机构或税务机关的公章或业务专用章。依法免税的供应商应提供相关文件证明。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被授权代表本单位证明：开标截止前连续近三个月的养老保险缴纳证明。（法定代表人参加只需提供法定代表人身份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供应商承诺书：1.供应商与其他投标单位无交叉控股股东、无交叉兼任高级管理人员及涉嫌联合围标、串标行为，无采购单位和采购代理机构职工在该单位兼职的情况，不向采购单位和代理机构相关人员输送利益等行贿行为（提供承诺书）。 2.本项目不接受西安市第一医院职工及其亲属投资开办的企业参与本医院的政府采购活动（提供承诺书）。</w:t>
      </w:r>
    </w:p>
    <w:p>
      <w:pPr>
        <w:pStyle w:val="null3"/>
      </w:pPr>
      <w:r>
        <w:rPr>
          <w:rFonts w:ascii="仿宋_GB2312" w:hAnsi="仿宋_GB2312" w:cs="仿宋_GB2312" w:eastAsia="仿宋_GB2312"/>
        </w:rPr>
        <w:t>5、特定资格：1.提供所投产品的《医疗器械产品注册证》或备案证； 2.供应商为生产厂家的须提供《医疗器械生产许可证》，供应商为代理商的须提供《医疗器械经营许可证》（投标产品须在其经营范围内）或《医疗器械经营备案证》及生产厂家的《医疗器械生产许可证》。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说明：1.合同签订后30日内，投标人应当按照中标合同总金额的5%作为履约保证金交付给采购人。 2.保证期为中标（成交）通知书到达中标供应商之日起至项目质保期结束日。 3.保证期满投标人如约履行合同的，采购人在合同服务期结束之日起30日内退还履约保证金（无息）。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购买</w:t>
      </w:r>
      <w:r>
        <w:rPr>
          <w:rFonts w:ascii="仿宋_GB2312" w:hAnsi="仿宋_GB2312" w:cs="仿宋_GB2312" w:eastAsia="仿宋_GB2312"/>
          <w:sz w:val="21"/>
        </w:rPr>
        <w:t>眼科光学相干断层扫描仪（</w:t>
      </w:r>
      <w:r>
        <w:rPr>
          <w:rFonts w:ascii="仿宋_GB2312" w:hAnsi="仿宋_GB2312" w:cs="仿宋_GB2312" w:eastAsia="仿宋_GB2312"/>
          <w:sz w:val="21"/>
        </w:rPr>
        <w:t>OCTA）1台，预算：190万元，最高</w:t>
      </w:r>
      <w:r>
        <w:rPr>
          <w:rFonts w:ascii="仿宋_GB2312" w:hAnsi="仿宋_GB2312" w:cs="仿宋_GB2312" w:eastAsia="仿宋_GB2312"/>
          <w:sz w:val="21"/>
        </w:rPr>
        <w:t>限价</w:t>
      </w:r>
      <w:r>
        <w:rPr>
          <w:rFonts w:ascii="仿宋_GB2312" w:hAnsi="仿宋_GB2312" w:cs="仿宋_GB2312" w:eastAsia="仿宋_GB2312"/>
          <w:sz w:val="21"/>
        </w:rPr>
        <w:t>185万元。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眼科光学相干断层扫描仪（OCTA)</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标的名称：眼科光学相干断层扫描仪（OCTA)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技术要求</w:t>
            </w:r>
          </w:p>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OCT成像</w:t>
            </w:r>
          </w:p>
          <w:p>
            <w:pPr>
              <w:pStyle w:val="null3"/>
            </w:pPr>
            <w:r>
              <w:rPr>
                <w:rFonts w:ascii="仿宋_GB2312" w:hAnsi="仿宋_GB2312" w:cs="仿宋_GB2312" w:eastAsia="仿宋_GB2312"/>
                <w:sz w:val="22"/>
              </w:rPr>
              <w:t>1.OCT光源：扫频激光</w:t>
            </w:r>
          </w:p>
          <w:p>
            <w:pPr>
              <w:pStyle w:val="null3"/>
            </w:pPr>
            <w:r>
              <w:rPr>
                <w:rFonts w:ascii="仿宋_GB2312" w:hAnsi="仿宋_GB2312" w:cs="仿宋_GB2312" w:eastAsia="仿宋_GB2312"/>
                <w:sz w:val="22"/>
              </w:rPr>
              <w:t>2.OCT光源中心波长：≥1050 nm</w:t>
            </w:r>
          </w:p>
          <w:p>
            <w:pPr>
              <w:pStyle w:val="null3"/>
            </w:pPr>
            <w:r>
              <w:rPr>
                <w:rFonts w:ascii="仿宋_GB2312" w:hAnsi="仿宋_GB2312" w:cs="仿宋_GB2312" w:eastAsia="仿宋_GB2312"/>
                <w:sz w:val="22"/>
              </w:rPr>
              <w:t>3.OCT扫描速度：≥200,000 /s（A-scans）</w:t>
            </w:r>
          </w:p>
          <w:p>
            <w:pPr>
              <w:pStyle w:val="null3"/>
            </w:pPr>
            <w:r>
              <w:rPr>
                <w:rFonts w:ascii="仿宋_GB2312" w:hAnsi="仿宋_GB2312" w:cs="仿宋_GB2312" w:eastAsia="仿宋_GB2312"/>
                <w:sz w:val="22"/>
              </w:rPr>
              <w:t>4.OCT轴向光学分辨率：≤3.8μm</w:t>
            </w:r>
          </w:p>
          <w:p>
            <w:pPr>
              <w:pStyle w:val="null3"/>
            </w:pPr>
            <w:r>
              <w:rPr>
                <w:rFonts w:ascii="仿宋_GB2312" w:hAnsi="仿宋_GB2312" w:cs="仿宋_GB2312" w:eastAsia="仿宋_GB2312"/>
                <w:sz w:val="22"/>
              </w:rPr>
              <w:t>5.OCT横向光学分辨率：≤10μm</w:t>
            </w:r>
          </w:p>
          <w:p>
            <w:pPr>
              <w:pStyle w:val="null3"/>
            </w:pPr>
            <w:r>
              <w:rPr>
                <w:rFonts w:ascii="仿宋_GB2312" w:hAnsi="仿宋_GB2312" w:cs="仿宋_GB2312" w:eastAsia="仿宋_GB2312"/>
                <w:sz w:val="22"/>
              </w:rPr>
              <w:t>6.OCT轴向数字分辨率 ≤2.0μm</w:t>
            </w:r>
          </w:p>
          <w:p>
            <w:pPr>
              <w:pStyle w:val="null3"/>
            </w:pPr>
            <w:r>
              <w:rPr>
                <w:rFonts w:ascii="仿宋_GB2312" w:hAnsi="仿宋_GB2312" w:cs="仿宋_GB2312" w:eastAsia="仿宋_GB2312"/>
                <w:sz w:val="22"/>
              </w:rPr>
              <w:t>7.OCT横向数字分辨率：≤1.5μm</w:t>
            </w:r>
          </w:p>
          <w:p>
            <w:pPr>
              <w:pStyle w:val="null3"/>
            </w:pPr>
            <w:r>
              <w:rPr>
                <w:rFonts w:ascii="仿宋_GB2312" w:hAnsi="仿宋_GB2312" w:cs="仿宋_GB2312" w:eastAsia="仿宋_GB2312"/>
                <w:sz w:val="22"/>
              </w:rPr>
              <w:t>8.眼前节OCT最大成像深度：≥16mm</w:t>
            </w:r>
          </w:p>
          <w:p>
            <w:pPr>
              <w:pStyle w:val="null3"/>
            </w:pPr>
            <w:r>
              <w:rPr>
                <w:rFonts w:ascii="仿宋_GB2312" w:hAnsi="仿宋_GB2312" w:cs="仿宋_GB2312" w:eastAsia="仿宋_GB2312"/>
                <w:sz w:val="22"/>
              </w:rPr>
              <w:t>9.眼后节OCT最大成像深度：≥12mm</w:t>
            </w:r>
          </w:p>
          <w:p>
            <w:pPr>
              <w:pStyle w:val="null3"/>
            </w:pPr>
            <w:r>
              <w:rPr>
                <w:rFonts w:ascii="仿宋_GB2312" w:hAnsi="仿宋_GB2312" w:cs="仿宋_GB2312" w:eastAsia="仿宋_GB2312"/>
                <w:sz w:val="22"/>
              </w:rPr>
              <w:t>10.眼前节OCT扫描最大范围：≥20mm</w:t>
            </w:r>
          </w:p>
          <w:p>
            <w:pPr>
              <w:pStyle w:val="null3"/>
            </w:pPr>
            <w:r>
              <w:rPr>
                <w:rFonts w:ascii="仿宋_GB2312" w:hAnsi="仿宋_GB2312" w:cs="仿宋_GB2312" w:eastAsia="仿宋_GB2312"/>
                <w:sz w:val="22"/>
              </w:rPr>
              <w:t>11.眼后节OCT扫描最大范围：≥26mm或130°</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眼底成像</w:t>
            </w:r>
          </w:p>
          <w:p>
            <w:pPr>
              <w:pStyle w:val="null3"/>
            </w:pPr>
            <w:r>
              <w:rPr>
                <w:rFonts w:ascii="仿宋_GB2312" w:hAnsi="仿宋_GB2312" w:cs="仿宋_GB2312" w:eastAsia="仿宋_GB2312"/>
                <w:sz w:val="22"/>
              </w:rPr>
              <w:t>1.眼底成像技术：共聚焦成像技术</w:t>
            </w:r>
          </w:p>
          <w:p>
            <w:pPr>
              <w:pStyle w:val="null3"/>
            </w:pPr>
            <w:r>
              <w:rPr>
                <w:rFonts w:ascii="仿宋_GB2312" w:hAnsi="仿宋_GB2312" w:cs="仿宋_GB2312" w:eastAsia="仿宋_GB2312"/>
                <w:sz w:val="22"/>
              </w:rPr>
              <w:t>2.眼底成像范围：≥90°×90°</w:t>
            </w:r>
          </w:p>
          <w:p>
            <w:pPr>
              <w:pStyle w:val="null3"/>
            </w:pPr>
            <w:r>
              <w:rPr>
                <w:rFonts w:ascii="仿宋_GB2312" w:hAnsi="仿宋_GB2312" w:cs="仿宋_GB2312" w:eastAsia="仿宋_GB2312"/>
                <w:sz w:val="22"/>
              </w:rPr>
              <w:t>3.眼底成像横向分辨率：≤15μm</w:t>
            </w:r>
          </w:p>
          <w:p>
            <w:pPr>
              <w:pStyle w:val="null3"/>
            </w:pPr>
            <w:r>
              <w:rPr>
                <w:rFonts w:ascii="仿宋_GB2312" w:hAnsi="仿宋_GB2312" w:cs="仿宋_GB2312" w:eastAsia="仿宋_GB2312"/>
                <w:sz w:val="22"/>
              </w:rPr>
              <w:t>4.眼底成像最大帧率：≥150张/秒</w:t>
            </w:r>
          </w:p>
          <w:p>
            <w:pPr>
              <w:pStyle w:val="null3"/>
            </w:pPr>
            <w:r>
              <w:rPr>
                <w:rFonts w:ascii="仿宋_GB2312" w:hAnsi="仿宋_GB2312" w:cs="仿宋_GB2312" w:eastAsia="仿宋_GB2312"/>
                <w:sz w:val="22"/>
              </w:rPr>
              <w:t>5.OCT与眼底镜的位置一致性：≤100μm</w:t>
            </w:r>
          </w:p>
          <w:p>
            <w:pPr>
              <w:pStyle w:val="null3"/>
              <w:jc w:val="both"/>
            </w:pPr>
            <w:r>
              <w:rPr>
                <w:rFonts w:ascii="仿宋_GB2312" w:hAnsi="仿宋_GB2312" w:cs="仿宋_GB2312" w:eastAsia="仿宋_GB2312"/>
                <w:sz w:val="22"/>
                <w:b/>
              </w:rPr>
              <w:t>（三）</w:t>
            </w:r>
            <w:r>
              <w:rPr>
                <w:rFonts w:ascii="仿宋_GB2312" w:hAnsi="仿宋_GB2312" w:cs="仿宋_GB2312" w:eastAsia="仿宋_GB2312"/>
                <w:sz w:val="22"/>
                <w:b/>
              </w:rPr>
              <w:t>血流成像</w:t>
            </w:r>
          </w:p>
          <w:p>
            <w:pPr>
              <w:pStyle w:val="null3"/>
            </w:pPr>
            <w:r>
              <w:rPr>
                <w:rFonts w:ascii="仿宋_GB2312" w:hAnsi="仿宋_GB2312" w:cs="仿宋_GB2312" w:eastAsia="仿宋_GB2312"/>
                <w:sz w:val="22"/>
              </w:rPr>
              <w:t>1.具备眼前节、眼后节血管成像拍摄模式</w:t>
            </w:r>
          </w:p>
          <w:p>
            <w:pPr>
              <w:pStyle w:val="null3"/>
            </w:pPr>
            <w:r>
              <w:rPr>
                <w:rFonts w:ascii="仿宋_GB2312" w:hAnsi="仿宋_GB2312" w:cs="仿宋_GB2312" w:eastAsia="仿宋_GB2312"/>
                <w:sz w:val="22"/>
              </w:rPr>
              <w:t>2.血流成像最高分辨率≤5.8μm/像素</w:t>
            </w:r>
          </w:p>
          <w:p>
            <w:pPr>
              <w:pStyle w:val="null3"/>
            </w:pPr>
            <w:r>
              <w:rPr>
                <w:rFonts w:ascii="仿宋_GB2312" w:hAnsi="仿宋_GB2312" w:cs="仿宋_GB2312" w:eastAsia="仿宋_GB2312"/>
                <w:sz w:val="22"/>
              </w:rPr>
              <w:t>3.前节血流成像单次扫描最大范围≥18mm×18mm</w:t>
            </w:r>
          </w:p>
          <w:p>
            <w:pPr>
              <w:pStyle w:val="null3"/>
            </w:pPr>
            <w:r>
              <w:rPr>
                <w:rFonts w:ascii="仿宋_GB2312" w:hAnsi="仿宋_GB2312" w:cs="仿宋_GB2312" w:eastAsia="仿宋_GB2312"/>
                <w:sz w:val="22"/>
              </w:rPr>
              <w:t>4.眼底血流成像单次扫描最大范围≥26mm×26mm</w:t>
            </w:r>
          </w:p>
          <w:p>
            <w:pPr>
              <w:pStyle w:val="null3"/>
            </w:pPr>
            <w:r>
              <w:rPr>
                <w:rFonts w:ascii="仿宋_GB2312" w:hAnsi="仿宋_GB2312" w:cs="仿宋_GB2312" w:eastAsia="仿宋_GB2312"/>
                <w:sz w:val="22"/>
              </w:rPr>
              <w:t>5.具备血流成像自动拼图功能，拼图具备血管密度量化功能</w:t>
            </w:r>
          </w:p>
          <w:p>
            <w:pPr>
              <w:pStyle w:val="null3"/>
              <w:jc w:val="both"/>
            </w:pPr>
            <w:r>
              <w:rPr>
                <w:rFonts w:ascii="仿宋_GB2312" w:hAnsi="仿宋_GB2312" w:cs="仿宋_GB2312" w:eastAsia="仿宋_GB2312"/>
                <w:sz w:val="22"/>
                <w:b/>
              </w:rPr>
              <w:t>（四）</w:t>
            </w:r>
            <w:r>
              <w:rPr>
                <w:rFonts w:ascii="仿宋_GB2312" w:hAnsi="仿宋_GB2312" w:cs="仿宋_GB2312" w:eastAsia="仿宋_GB2312"/>
                <w:sz w:val="22"/>
                <w:b/>
              </w:rPr>
              <w:t>眼后节功能分析</w:t>
            </w:r>
          </w:p>
          <w:p>
            <w:pPr>
              <w:pStyle w:val="null3"/>
            </w:pPr>
            <w:r>
              <w:rPr>
                <w:rFonts w:ascii="仿宋_GB2312" w:hAnsi="仿宋_GB2312" w:cs="仿宋_GB2312" w:eastAsia="仿宋_GB2312"/>
                <w:sz w:val="22"/>
              </w:rPr>
              <w:t>1.视网膜厚度测量精准度：≤±0.1%</w:t>
            </w:r>
          </w:p>
          <w:p>
            <w:pPr>
              <w:pStyle w:val="null3"/>
            </w:pPr>
            <w:r>
              <w:rPr>
                <w:rFonts w:ascii="仿宋_GB2312" w:hAnsi="仿宋_GB2312" w:cs="仿宋_GB2312" w:eastAsia="仿宋_GB2312"/>
                <w:sz w:val="22"/>
              </w:rPr>
              <w:t>视网膜厚度测量重复性，标准差：</w:t>
            </w:r>
            <w:r>
              <w:rPr>
                <w:rFonts w:ascii="仿宋_GB2312" w:hAnsi="仿宋_GB2312" w:cs="仿宋_GB2312" w:eastAsia="仿宋_GB2312"/>
                <w:sz w:val="22"/>
              </w:rPr>
              <w:t>≤±0.1%</w:t>
            </w:r>
          </w:p>
          <w:p>
            <w:pPr>
              <w:pStyle w:val="null3"/>
            </w:pPr>
            <w:r>
              <w:rPr>
                <w:rFonts w:ascii="仿宋_GB2312" w:hAnsi="仿宋_GB2312" w:cs="仿宋_GB2312" w:eastAsia="仿宋_GB2312"/>
                <w:sz w:val="22"/>
              </w:rPr>
              <w:t>2.血流成像自动分层≥8层（玻璃体层、放射状毛细血管网、浅层血管网、中层毛细血管网、深层毛细血管网、视网膜无血管层、脉络膜毛细血管层、脉络膜层），并具备手动添加分层功能。</w:t>
            </w:r>
          </w:p>
          <w:p>
            <w:pPr>
              <w:pStyle w:val="null3"/>
            </w:pPr>
            <w:r>
              <w:rPr>
                <w:rFonts w:ascii="仿宋_GB2312" w:hAnsi="仿宋_GB2312" w:cs="仿宋_GB2312" w:eastAsia="仿宋_GB2312"/>
                <w:sz w:val="22"/>
              </w:rPr>
              <w:t>3.具备血流成像量化功能，包含但不限于：血流密度、灌注面积、无灌注面积、FAZ分析（面积、周长、近圆指数）、血管线密度等参数,量化数值可导出为表格。</w:t>
            </w:r>
          </w:p>
          <w:p>
            <w:pPr>
              <w:pStyle w:val="null3"/>
            </w:pPr>
            <w:r>
              <w:rPr>
                <w:rFonts w:ascii="仿宋_GB2312" w:hAnsi="仿宋_GB2312" w:cs="仿宋_GB2312" w:eastAsia="仿宋_GB2312"/>
                <w:sz w:val="22"/>
              </w:rPr>
              <w:t>4.具备基于深度学习的人工智能分层，支持手动调整分层线并可自动扩展调整范围的功能。</w:t>
            </w:r>
          </w:p>
          <w:p>
            <w:pPr>
              <w:pStyle w:val="null3"/>
            </w:pPr>
            <w:r>
              <w:rPr>
                <w:rFonts w:ascii="仿宋_GB2312" w:hAnsi="仿宋_GB2312" w:cs="仿宋_GB2312" w:eastAsia="仿宋_GB2312"/>
                <w:sz w:val="22"/>
              </w:rPr>
              <w:t>5.具备全层去伪影功能，在OCTA及断层图像上的血流信号均可去除投射伪影等功能。</w:t>
            </w:r>
          </w:p>
          <w:p>
            <w:pPr>
              <w:pStyle w:val="null3"/>
            </w:pPr>
            <w:r>
              <w:rPr>
                <w:rFonts w:ascii="仿宋_GB2312" w:hAnsi="仿宋_GB2312" w:cs="仿宋_GB2312" w:eastAsia="仿宋_GB2312"/>
                <w:sz w:val="22"/>
              </w:rPr>
              <w:t>6.具备视网膜层、神经纤维层、神经节细胞复合体厚度、内核层、脉络膜厚度进行自动量化的功能。</w:t>
            </w:r>
          </w:p>
          <w:p>
            <w:pPr>
              <w:pStyle w:val="null3"/>
            </w:pPr>
            <w:r>
              <w:rPr>
                <w:rFonts w:ascii="仿宋_GB2312" w:hAnsi="仿宋_GB2312" w:cs="仿宋_GB2312" w:eastAsia="仿宋_GB2312"/>
                <w:sz w:val="22"/>
              </w:rPr>
              <w:t>7.青光眼分析具备杯盘比、视杯视盘面积、盘沿面积、神经纤维层厚度、神经节细胞复合体厚度等参数进行自动量化，支持双眼及对比分析的功能。</w:t>
            </w:r>
          </w:p>
          <w:p>
            <w:pPr>
              <w:pStyle w:val="null3"/>
            </w:pPr>
            <w:r>
              <w:rPr>
                <w:rFonts w:ascii="仿宋_GB2312" w:hAnsi="仿宋_GB2312" w:cs="仿宋_GB2312" w:eastAsia="仿宋_GB2312"/>
                <w:sz w:val="22"/>
              </w:rPr>
              <w:t>8.具备对视网膜下积液进行自动识别并计算其面积和体积的功能。</w:t>
            </w:r>
          </w:p>
          <w:p>
            <w:pPr>
              <w:pStyle w:val="null3"/>
            </w:pPr>
            <w:r>
              <w:rPr>
                <w:rFonts w:ascii="仿宋_GB2312" w:hAnsi="仿宋_GB2312" w:cs="仿宋_GB2312" w:eastAsia="仿宋_GB2312"/>
                <w:sz w:val="22"/>
              </w:rPr>
              <w:t>9.具有可对脉络膜大中血管具有进行自动识别并计算CVI（脉络膜血管指数）、CVV（脉络膜血管容积）、CSI（脉络膜基质指数）、CSV（脉络膜基质容积）等功能。</w:t>
            </w:r>
          </w:p>
          <w:p>
            <w:pPr>
              <w:pStyle w:val="null3"/>
            </w:pPr>
            <w:r>
              <w:rPr>
                <w:rFonts w:ascii="仿宋_GB2312" w:hAnsi="仿宋_GB2312" w:cs="仿宋_GB2312" w:eastAsia="仿宋_GB2312"/>
                <w:sz w:val="22"/>
              </w:rPr>
              <w:t>10.可自定义量化图形，量化数据可导出为表格的功能。</w:t>
            </w:r>
          </w:p>
          <w:p>
            <w:pPr>
              <w:pStyle w:val="null3"/>
              <w:jc w:val="both"/>
            </w:pPr>
            <w:r>
              <w:rPr>
                <w:rFonts w:ascii="仿宋_GB2312" w:hAnsi="仿宋_GB2312" w:cs="仿宋_GB2312" w:eastAsia="仿宋_GB2312"/>
                <w:sz w:val="22"/>
                <w:b/>
              </w:rPr>
              <w:t>（五）</w:t>
            </w:r>
            <w:r>
              <w:rPr>
                <w:rFonts w:ascii="仿宋_GB2312" w:hAnsi="仿宋_GB2312" w:cs="仿宋_GB2312" w:eastAsia="仿宋_GB2312"/>
                <w:sz w:val="22"/>
                <w:b/>
              </w:rPr>
              <w:t>眼前节功能分析</w:t>
            </w:r>
          </w:p>
          <w:p>
            <w:pPr>
              <w:pStyle w:val="null3"/>
            </w:pPr>
            <w:r>
              <w:rPr>
                <w:rFonts w:ascii="仿宋_GB2312" w:hAnsi="仿宋_GB2312" w:cs="仿宋_GB2312" w:eastAsia="仿宋_GB2312"/>
                <w:sz w:val="22"/>
              </w:rPr>
              <w:t>1.具备角膜曲率和厚度、瞳孔直径、前房深度、晶体厚度、人眼角膜直径的测量分析功能。</w:t>
            </w:r>
          </w:p>
          <w:p>
            <w:pPr>
              <w:pStyle w:val="null3"/>
            </w:pPr>
            <w:r>
              <w:rPr>
                <w:rFonts w:ascii="仿宋_GB2312" w:hAnsi="仿宋_GB2312" w:cs="仿宋_GB2312" w:eastAsia="仿宋_GB2312"/>
                <w:sz w:val="22"/>
              </w:rPr>
              <w:t>2.可显示全景前节断层结构（一次扫描同时显示角膜全层、双侧房角、前房、晶状体前囊及后囊、前部玻璃体的断层结构）功能。</w:t>
            </w:r>
          </w:p>
          <w:p>
            <w:pPr>
              <w:pStyle w:val="null3"/>
            </w:pPr>
            <w:r>
              <w:rPr>
                <w:rFonts w:ascii="仿宋_GB2312" w:hAnsi="仿宋_GB2312" w:cs="仿宋_GB2312" w:eastAsia="仿宋_GB2312"/>
                <w:sz w:val="22"/>
              </w:rPr>
              <w:t>3.具备小梁虹膜空间面积、房角开放距离、小梁虹膜夹角、房角隐窝面积等自动测量功能。</w:t>
            </w:r>
          </w:p>
          <w:p>
            <w:pPr>
              <w:pStyle w:val="null3"/>
            </w:pPr>
            <w:r>
              <w:rPr>
                <w:rFonts w:ascii="仿宋_GB2312" w:hAnsi="仿宋_GB2312" w:cs="仿宋_GB2312" w:eastAsia="仿宋_GB2312"/>
                <w:sz w:val="22"/>
              </w:rPr>
              <w:t>4.具备ICL拱高自动测量功能。</w:t>
            </w:r>
          </w:p>
          <w:p>
            <w:pPr>
              <w:pStyle w:val="null3"/>
            </w:pPr>
            <w:r>
              <w:rPr>
                <w:rFonts w:ascii="仿宋_GB2312" w:hAnsi="仿宋_GB2312" w:cs="仿宋_GB2312" w:eastAsia="仿宋_GB2312"/>
                <w:sz w:val="22"/>
              </w:rPr>
              <w:t>5.具备角膜瓣厚度自动测量功能。</w:t>
            </w:r>
          </w:p>
          <w:p>
            <w:pPr>
              <w:pStyle w:val="null3"/>
            </w:pPr>
            <w:r>
              <w:rPr>
                <w:rFonts w:ascii="仿宋_GB2312" w:hAnsi="仿宋_GB2312" w:cs="仿宋_GB2312" w:eastAsia="仿宋_GB2312"/>
                <w:sz w:val="22"/>
              </w:rPr>
              <w:t>6.具备角膜地形图、角膜上皮厚度地形图、角膜屈光四联图等分析功能。</w:t>
            </w:r>
          </w:p>
          <w:p>
            <w:pPr>
              <w:pStyle w:val="null3"/>
              <w:jc w:val="both"/>
            </w:pPr>
            <w:r>
              <w:rPr>
                <w:rFonts w:ascii="仿宋_GB2312" w:hAnsi="仿宋_GB2312" w:cs="仿宋_GB2312" w:eastAsia="仿宋_GB2312"/>
                <w:sz w:val="22"/>
                <w:b/>
              </w:rPr>
              <w:t>（六）</w:t>
            </w:r>
            <w:r>
              <w:rPr>
                <w:rFonts w:ascii="仿宋_GB2312" w:hAnsi="仿宋_GB2312" w:cs="仿宋_GB2312" w:eastAsia="仿宋_GB2312"/>
                <w:sz w:val="22"/>
                <w:b/>
              </w:rPr>
              <w:t>其他参数</w:t>
            </w:r>
          </w:p>
          <w:p>
            <w:pPr>
              <w:pStyle w:val="null3"/>
            </w:pPr>
            <w:r>
              <w:rPr>
                <w:rFonts w:ascii="仿宋_GB2312" w:hAnsi="仿宋_GB2312" w:cs="仿宋_GB2312" w:eastAsia="仿宋_GB2312"/>
                <w:sz w:val="22"/>
              </w:rPr>
              <w:t>1.具备内置前节镜头组，前后节成像可由电机自动切换。</w:t>
            </w:r>
          </w:p>
          <w:p>
            <w:pPr>
              <w:pStyle w:val="null3"/>
            </w:pPr>
            <w:r>
              <w:rPr>
                <w:rFonts w:ascii="仿宋_GB2312" w:hAnsi="仿宋_GB2312" w:cs="仿宋_GB2312" w:eastAsia="仿宋_GB2312"/>
                <w:sz w:val="22"/>
              </w:rPr>
              <w:t>2.眼底拍摄具有可切换至非超广角镜模式，用于拍摄黄斑细微病灶的功能。</w:t>
            </w:r>
          </w:p>
          <w:p>
            <w:pPr>
              <w:pStyle w:val="null3"/>
            </w:pPr>
            <w:r>
              <w:rPr>
                <w:rFonts w:ascii="仿宋_GB2312" w:hAnsi="仿宋_GB2312" w:cs="仿宋_GB2312" w:eastAsia="仿宋_GB2312"/>
                <w:sz w:val="22"/>
              </w:rPr>
              <w:t>3.具备一键全自动对准及对焦功能，包含瞳孔自动居中、工作距离自动调节、OCT图像自动居中及对焦、OCT信号自动调节至最强信号等功能。</w:t>
            </w:r>
          </w:p>
          <w:p>
            <w:pPr>
              <w:pStyle w:val="null3"/>
            </w:pPr>
            <w:r>
              <w:rPr>
                <w:rFonts w:ascii="仿宋_GB2312" w:hAnsi="仿宋_GB2312" w:cs="仿宋_GB2312" w:eastAsia="仿宋_GB2312"/>
                <w:sz w:val="22"/>
              </w:rPr>
              <w:t>4.具备眼动追踪功能，最大追踪频率≥150Hz</w:t>
            </w:r>
          </w:p>
          <w:p>
            <w:pPr>
              <w:pStyle w:val="null3"/>
            </w:pPr>
            <w:r>
              <w:rPr>
                <w:rFonts w:ascii="仿宋_GB2312" w:hAnsi="仿宋_GB2312" w:cs="仿宋_GB2312" w:eastAsia="仿宋_GB2312"/>
                <w:sz w:val="22"/>
              </w:rPr>
              <w:t>5.屈光补偿范围：-33D~+40D</w:t>
            </w:r>
          </w:p>
          <w:p>
            <w:pPr>
              <w:pStyle w:val="null3"/>
            </w:pPr>
            <w:r>
              <w:rPr>
                <w:rFonts w:ascii="仿宋_GB2312" w:hAnsi="仿宋_GB2312" w:cs="仿宋_GB2312" w:eastAsia="仿宋_GB2312"/>
                <w:sz w:val="22"/>
              </w:rPr>
              <w:t>6.颏托可调节范围：0-48mm</w:t>
            </w:r>
          </w:p>
          <w:p>
            <w:pPr>
              <w:pStyle w:val="null3"/>
            </w:pPr>
            <w:r>
              <w:rPr>
                <w:rFonts w:ascii="仿宋_GB2312" w:hAnsi="仿宋_GB2312" w:cs="仿宋_GB2312" w:eastAsia="仿宋_GB2312"/>
                <w:sz w:val="22"/>
              </w:rPr>
              <w:t>7.固视灯：可调节内固视灯及外固视灯</w:t>
            </w:r>
          </w:p>
          <w:p>
            <w:pPr>
              <w:pStyle w:val="null3"/>
            </w:pPr>
            <w:r>
              <w:rPr>
                <w:rFonts w:ascii="仿宋_GB2312" w:hAnsi="仿宋_GB2312" w:cs="仿宋_GB2312" w:eastAsia="仿宋_GB2312"/>
                <w:sz w:val="22"/>
              </w:rPr>
              <w:t>8.具备DICOM数据开放接口</w:t>
            </w:r>
          </w:p>
          <w:p>
            <w:pPr>
              <w:pStyle w:val="null3"/>
            </w:pPr>
            <w:r>
              <w:rPr>
                <w:rFonts w:ascii="仿宋_GB2312" w:hAnsi="仿宋_GB2312" w:cs="仿宋_GB2312" w:eastAsia="仿宋_GB2312"/>
                <w:sz w:val="22"/>
              </w:rPr>
              <w:t>9.计算机配置：CPU性能≥四核主频3.0GHz，DDR4内存≥16G，SSD≥500G；HDD≥8TB（支持外接扩展），显卡RTX2060或以上，配置≥24英寸显示器</w:t>
            </w:r>
          </w:p>
          <w:p>
            <w:pPr>
              <w:pStyle w:val="null3"/>
            </w:pPr>
            <w:r>
              <w:rPr>
                <w:rFonts w:ascii="仿宋_GB2312" w:hAnsi="仿宋_GB2312" w:cs="仿宋_GB2312" w:eastAsia="仿宋_GB2312"/>
                <w:sz w:val="22"/>
              </w:rPr>
              <w:t>10.打印机：激光彩色打印机或喷墨彩色打印机</w:t>
            </w:r>
          </w:p>
          <w:p>
            <w:pPr>
              <w:pStyle w:val="null3"/>
              <w:jc w:val="both"/>
            </w:pPr>
            <w:r>
              <w:rPr>
                <w:rFonts w:ascii="仿宋_GB2312" w:hAnsi="仿宋_GB2312" w:cs="仿宋_GB2312" w:eastAsia="仿宋_GB2312"/>
                <w:sz w:val="22"/>
                <w:b/>
              </w:rPr>
              <w:t>二、商务条款：</w:t>
            </w:r>
          </w:p>
          <w:p>
            <w:pPr>
              <w:pStyle w:val="null3"/>
              <w:jc w:val="both"/>
            </w:pPr>
            <w:r>
              <w:rPr>
                <w:rFonts w:ascii="仿宋_GB2312" w:hAnsi="仿宋_GB2312" w:cs="仿宋_GB2312" w:eastAsia="仿宋_GB2312"/>
                <w:sz w:val="22"/>
              </w:rPr>
              <w:t>1、原厂质保要求：要求投标设备原厂质保≥3年。合同签订时，投标人向采购人提供和原厂签订的≥3年的质保合同，内容需明确已响应的质保内容和拟签订采购合同的履约约定内容，并明确质保期内出现质量问题，全权由原厂负责处理。</w:t>
            </w:r>
          </w:p>
          <w:p>
            <w:pPr>
              <w:pStyle w:val="null3"/>
              <w:jc w:val="both"/>
            </w:pPr>
            <w:r>
              <w:rPr>
                <w:rFonts w:ascii="仿宋_GB2312" w:hAnsi="仿宋_GB2312" w:cs="仿宋_GB2312" w:eastAsia="仿宋_GB2312"/>
                <w:sz w:val="22"/>
              </w:rPr>
              <w:t>2、交货期：合同签订之日起30日历天内。</w:t>
            </w:r>
          </w:p>
          <w:p>
            <w:pPr>
              <w:pStyle w:val="null3"/>
              <w:jc w:val="both"/>
            </w:pPr>
            <w:r>
              <w:rPr>
                <w:rFonts w:ascii="仿宋_GB2312" w:hAnsi="仿宋_GB2312" w:cs="仿宋_GB2312" w:eastAsia="仿宋_GB2312"/>
                <w:sz w:val="22"/>
              </w:rPr>
              <w:t>3、交货地点：采购人指定地点。</w:t>
            </w:r>
          </w:p>
          <w:p>
            <w:pPr>
              <w:pStyle w:val="null3"/>
              <w:jc w:val="both"/>
            </w:pPr>
            <w:r>
              <w:rPr>
                <w:rFonts w:ascii="仿宋_GB2312" w:hAnsi="仿宋_GB2312" w:cs="仿宋_GB2312" w:eastAsia="仿宋_GB2312"/>
                <w:sz w:val="22"/>
              </w:rPr>
              <w:t>4、履约能力要求：</w:t>
            </w:r>
          </w:p>
          <w:p>
            <w:pPr>
              <w:pStyle w:val="null3"/>
              <w:jc w:val="both"/>
            </w:pPr>
            <w:r>
              <w:rPr>
                <w:rFonts w:ascii="仿宋_GB2312" w:hAnsi="仿宋_GB2312" w:cs="仿宋_GB2312" w:eastAsia="仿宋_GB2312"/>
                <w:sz w:val="22"/>
              </w:rPr>
              <w:t>4.1、质保期内：</w:t>
            </w:r>
          </w:p>
          <w:p>
            <w:pPr>
              <w:pStyle w:val="null3"/>
              <w:jc w:val="both"/>
            </w:pPr>
            <w:r>
              <w:rPr>
                <w:rFonts w:ascii="仿宋_GB2312" w:hAnsi="仿宋_GB2312" w:cs="仿宋_GB2312" w:eastAsia="仿宋_GB2312"/>
                <w:sz w:val="22"/>
              </w:rPr>
              <w:t>4.1.1、设备发生故障，在接到采购人通知后，投标人2小时内响应， 8小时内到达现场明确解决方案，48小时内无法修复提供备用机。若需返厂维修，10个工作日内仍无法修复的，需更换同规格型号原厂全新产品。以上环节产生的相关费用均包含在投标价中。</w:t>
            </w:r>
          </w:p>
          <w:p>
            <w:pPr>
              <w:pStyle w:val="null3"/>
              <w:jc w:val="both"/>
            </w:pPr>
            <w:r>
              <w:rPr>
                <w:rFonts w:ascii="仿宋_GB2312" w:hAnsi="仿宋_GB2312" w:cs="仿宋_GB2312" w:eastAsia="仿宋_GB2312"/>
                <w:sz w:val="22"/>
              </w:rPr>
              <w:t>4.1.2、投标人销售及原厂维修人员须定期巡访医院，及时解决相关设备的各种问题。质保期内保证整机按照保养手册至少每季度保养一次。</w:t>
            </w:r>
          </w:p>
          <w:p>
            <w:pPr>
              <w:pStyle w:val="null3"/>
              <w:jc w:val="both"/>
            </w:pPr>
            <w:r>
              <w:rPr>
                <w:rFonts w:ascii="仿宋_GB2312" w:hAnsi="仿宋_GB2312" w:cs="仿宋_GB2312" w:eastAsia="仿宋_GB2312"/>
                <w:sz w:val="22"/>
              </w:rPr>
              <w:t>4.2、投标人在质保期结束前，对设备进行系统测试，全面保养维护，确保设备正常运行。</w:t>
            </w:r>
          </w:p>
          <w:p>
            <w:pPr>
              <w:pStyle w:val="null3"/>
              <w:jc w:val="both"/>
            </w:pPr>
            <w:r>
              <w:rPr>
                <w:rFonts w:ascii="仿宋_GB2312" w:hAnsi="仿宋_GB2312" w:cs="仿宋_GB2312" w:eastAsia="仿宋_GB2312"/>
                <w:sz w:val="22"/>
              </w:rPr>
              <w:t>4.3、质保期满后：投标人提供每年不低于四次的巡访，以保证设备正常运行。如采购人要求，投标人须提供优惠有偿维修服务，并负责成本价供应设备所需的原厂备品、备件，提供主要易损备件报价单。设备出现的故障，投标人应提供及时、有效的技术支持和售后服务，维修更换的配件、备件质保时间为≥12个月，投标人保证所提供的零备件按成本价收取费用，免工时费。</w:t>
            </w:r>
          </w:p>
          <w:p>
            <w:pPr>
              <w:pStyle w:val="null3"/>
              <w:jc w:val="both"/>
            </w:pPr>
            <w:r>
              <w:rPr>
                <w:rFonts w:ascii="仿宋_GB2312" w:hAnsi="仿宋_GB2312" w:cs="仿宋_GB2312" w:eastAsia="仿宋_GB2312"/>
                <w:sz w:val="22"/>
              </w:rPr>
              <w:t>4.4、使用培训：设备安装调试完成后，投标人须安排原厂工程师对设备使用人员进行设备安装调试及操作应用等技术培训，直至使用人员熟练掌握该设备的全部功能操作。提供每年不低于2次的理论和操作应用培训。培训环节产生的相关费用包含于投标价中。</w:t>
            </w:r>
          </w:p>
          <w:p>
            <w:pPr>
              <w:pStyle w:val="null3"/>
              <w:jc w:val="both"/>
            </w:pPr>
            <w:r>
              <w:rPr>
                <w:rFonts w:ascii="仿宋_GB2312" w:hAnsi="仿宋_GB2312" w:cs="仿宋_GB2312" w:eastAsia="仿宋_GB2312"/>
                <w:sz w:val="22"/>
              </w:rPr>
              <w:t>4.5、开机率：全年≥95%（全年按365天计），故障停机每超过一天，保修期顺延5天，以此类推。</w:t>
            </w:r>
          </w:p>
          <w:p>
            <w:pPr>
              <w:pStyle w:val="null3"/>
              <w:jc w:val="both"/>
            </w:pPr>
            <w:r>
              <w:rPr>
                <w:rFonts w:ascii="仿宋_GB2312" w:hAnsi="仿宋_GB2312" w:cs="仿宋_GB2312" w:eastAsia="仿宋_GB2312"/>
                <w:sz w:val="22"/>
              </w:rPr>
              <w:t>4.6、服务承诺：</w:t>
            </w:r>
          </w:p>
          <w:p>
            <w:pPr>
              <w:pStyle w:val="null3"/>
              <w:jc w:val="both"/>
            </w:pPr>
            <w:r>
              <w:rPr>
                <w:rFonts w:ascii="仿宋_GB2312" w:hAnsi="仿宋_GB2312" w:cs="仿宋_GB2312" w:eastAsia="仿宋_GB2312"/>
                <w:sz w:val="22"/>
              </w:rPr>
              <w:t>4.6.1、质保期内提供的所有服务，不收取任何费用。</w:t>
            </w:r>
          </w:p>
          <w:p>
            <w:pPr>
              <w:pStyle w:val="null3"/>
              <w:jc w:val="both"/>
            </w:pPr>
            <w:r>
              <w:rPr>
                <w:rFonts w:ascii="仿宋_GB2312" w:hAnsi="仿宋_GB2312" w:cs="仿宋_GB2312" w:eastAsia="仿宋_GB2312"/>
                <w:sz w:val="22"/>
              </w:rPr>
              <w:t>4.6.2、设备所需备件充足，并保证不低于10年的供应期，提供主要配件清单。</w:t>
            </w:r>
          </w:p>
          <w:p>
            <w:pPr>
              <w:pStyle w:val="null3"/>
              <w:jc w:val="both"/>
            </w:pPr>
            <w:r>
              <w:rPr>
                <w:rFonts w:ascii="仿宋_GB2312" w:hAnsi="仿宋_GB2312" w:cs="仿宋_GB2312" w:eastAsia="仿宋_GB2312"/>
                <w:sz w:val="22"/>
              </w:rPr>
              <w:t>5、履约保证金的交付和退还：</w:t>
            </w:r>
          </w:p>
          <w:p>
            <w:pPr>
              <w:pStyle w:val="null3"/>
              <w:jc w:val="both"/>
            </w:pPr>
            <w:r>
              <w:rPr>
                <w:rFonts w:ascii="仿宋_GB2312" w:hAnsi="仿宋_GB2312" w:cs="仿宋_GB2312" w:eastAsia="仿宋_GB2312"/>
                <w:sz w:val="22"/>
              </w:rPr>
              <w:t>5.1、合同签订后30日内，投标人应当按照中标合同总金额的5%作为履约保证金交付给采购人。</w:t>
            </w:r>
          </w:p>
          <w:p>
            <w:pPr>
              <w:pStyle w:val="null3"/>
              <w:jc w:val="both"/>
            </w:pPr>
            <w:r>
              <w:rPr>
                <w:rFonts w:ascii="仿宋_GB2312" w:hAnsi="仿宋_GB2312" w:cs="仿宋_GB2312" w:eastAsia="仿宋_GB2312"/>
                <w:sz w:val="22"/>
              </w:rPr>
              <w:t>5.2、保证期为中标（成交）通知书到达中标投标人之日起至项目质保期结束日。</w:t>
            </w:r>
          </w:p>
          <w:p>
            <w:pPr>
              <w:pStyle w:val="null3"/>
              <w:jc w:val="both"/>
            </w:pPr>
            <w:r>
              <w:rPr>
                <w:rFonts w:ascii="仿宋_GB2312" w:hAnsi="仿宋_GB2312" w:cs="仿宋_GB2312" w:eastAsia="仿宋_GB2312"/>
                <w:sz w:val="22"/>
              </w:rPr>
              <w:t>5.3、保证期满投标人如约履行合同的，采购人在合同服务期结束之日起30日内退还履约保证金（无息）。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1.合同签订后，乙方向甲方开具合同总价50%的预付款保函(预付款保函期限为6个月)，甲方收到乙方提交的预付款保函后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2.货到安装验收合格并经15天试用期满符合合同约定的质量标准要求，经产品最终验收合格后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1.货物到达采购人指定地点后，由投标人和采购人约定时间根据合同要求进行清点验收，确认产地品牌、规格型号和数量等。2.设备安装、调试、自检正常，且可正常使用后，由投标人书面向采购人申请正式验收。3.投标人按照采购人的验收管理制度和流程准备好验收资料后，按约定时间进行设备运行（正式）验收。设备验收合格后，验收人员在设备验收单上签字作为对货物的最终认可。4.投标人须向采购人提交货物实施过程中的所有资料，以便日后管理和维护。 验收依据：1.本合同及附件文本；2.国家相应的标准、规范；3.磋商文件、响应文件、澄清表（函）。4.易损配件、备件报价单。5.提供原厂质保文件。6.其它。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响应文件递交截止时间起至磋商结束，保持在线状态。3.响应文件中凡是需要法定代表人盖章之处，由分支机构参与投标时，单位负责人均参照执行（法定代表人授权书由单位负责人签授）。4.本项目商务条款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完整的财务审计报告；或投标前六个月内其基本账户银行出具的资信证明；或财政部门认可的政府采购专业担保机构出具的担保函，以上形式的证明资料提供任何一种即可。 3、提供已缴存的 2024年10月1日以来至少三个月的社会保障资金缴存单据或社保机构开具的社会保险参保缴费情况证明。成立时间至提交响应文件截止时间不足一个月或依法不需要缴纳社会保障资金的供应商应提供相关文件证明。 4、提供已缴纳的 2024年10月1日以来至少三个月的纳税证明或完税证明，纳税证明或完税证明上应有代收机构或税务机关的公章或业务专用章。依法免税的供应商应提供相关文件证明。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开标截止前连续近三个月的养老保险缴纳证明。（法定代表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采购代理机构职工在该单位兼职的情况，不向采购单位和代理机构相关人员输送利益等行贿行为（提供承诺书）。 2.本项目不接受西安市第一医院职工及其亲属投资开办的企业参与本医院的政府采购活动（提供承诺书）。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1.提供所投产品的《医疗器械产品注册证》或备案证； 2.供应商为生产厂家的须提供《医疗器械生产许可证》，供应商为代理商的须提供《医疗器械经营许可证》（投标产品须在其经营范围内）或《医疗器械经营备案证》及生产厂家的《医疗器械生产许可证》。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商务条款偏离表 合同主要条款偏离表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本项目商务条款不允许负偏离。</w:t>
            </w:r>
          </w:p>
        </w:tc>
        <w:tc>
          <w:tcPr>
            <w:tcW w:type="dxa" w:w="1661"/>
          </w:tcPr>
          <w:p>
            <w:pPr>
              <w:pStyle w:val="null3"/>
            </w:pPr>
            <w:r>
              <w:rPr>
                <w:rFonts w:ascii="仿宋_GB2312" w:hAnsi="仿宋_GB2312" w:cs="仿宋_GB2312" w:eastAsia="仿宋_GB2312"/>
              </w:rPr>
              <w:t>商务条款偏离表 合同主要条款偏离表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1.投标产品技术参数清晰明确，符合使用要求，数量准确无缺漏项，技术指标完全响应磋商文件要求，满足采购需求得30分；每负偏离一项扣1分，扣完为止。 注：供应商需提供相关的技术证明材料（不限于检验报告、产品彩页、产品说明书、功能说明等证明资料，供应商应在响应文件中给出明确的证明材料索引。未提供佐证材料视认为负偏离。）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产品供应方案</w:t>
            </w:r>
          </w:p>
        </w:tc>
        <w:tc>
          <w:tcPr>
            <w:tcW w:type="dxa" w:w="2492"/>
          </w:tcPr>
          <w:p>
            <w:pPr>
              <w:pStyle w:val="null3"/>
            </w:pPr>
            <w:r>
              <w:rPr>
                <w:rFonts w:ascii="仿宋_GB2312" w:hAnsi="仿宋_GB2312" w:cs="仿宋_GB2312" w:eastAsia="仿宋_GB2312"/>
              </w:rPr>
              <w:t>一、评审内容 针对本项目提供具体可行的产品供应方案，包括但不限于： ①所投产品型号、功能、技术规格等详细信息描述； ②根据所投产品品牌与配置清单，设备配置先进、选型科学合理，配置完整性、性能、稳定性、兼容性、行业使用广泛性等； ③确保设备供应渠道正常、检验手续合法有效、无产权纠纷（不限于授权函、销售协议、代理协议等）。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针对本项目提供具体可行的实施方案，包括但不限于： ①详细的实施计划及进度安排； ②具有完善供货组织安排、详细的人员、财力调配、运输、配送措施； ③具有健全产品安装、检测、调试、试运行及验收方案。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针对本项目提供保障措施，包括但不限于： ①质量保障措施及承诺； ②针对本项目的服务承诺、配套耗材价格承诺等。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根据本项目特点制定应急方案，方案应包括但不限于： ①设备故障响应时限； ②维修服务到场响应时限； ③备品备件不足的紧急措施； ④应急突发状况处置措施。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上述4项评审内容全部满足评审标准得4分，每有一个评审内容缺项扣1分，扣完为止，每有一项评审内容存在缺陷，扣（0-1）分。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具体可行的售后服务方案及承诺，包括但不限于①针对本项目的售后服务方案及承诺；②具有建全的售后服务机构、配备专职维修人员；③承诺维修服务具体时限与优惠措施；④提供具体的培训方案、培训内容、培训方式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提供所投产品近三年（2022年10月至今以合同签订时间为准）的业绩证明文件，需提供完整合同复印件加盖公章，每提供一份得1分，满分6分。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满足磋商文件要求且最终总报价最低为评标基准价，其价格分为满分。 投标报价得分=（评标基准价／投标总报价）×30%×100。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