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版本号：JXZB2025-09-3020251105001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办公场所租赁项目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JXZB2025-09-30</w:t>
      </w:r>
      <w:r>
        <w:br/>
      </w:r>
      <w:r>
        <w:br/>
      </w:r>
      <w:r>
        <w:br/>
      </w:r>
    </w:p>
    <w:p>
      <w:pPr>
        <w:pStyle w:val="null3"/>
        <w:jc w:val="center"/>
        <w:outlineLvl w:val="5"/>
      </w:pPr>
      <w:r>
        <w:rPr>
          <w:rFonts w:ascii="仿宋_GB2312" w:hAnsi="仿宋_GB2312" w:cs="仿宋_GB2312" w:eastAsia="仿宋_GB2312"/>
          <w:sz w:val="15"/>
          <w:b/>
        </w:rPr>
        <w:t>西安市李家河水源地环境保护管理站</w:t>
      </w:r>
    </w:p>
    <w:p>
      <w:pPr>
        <w:pStyle w:val="null3"/>
        <w:jc w:val="center"/>
        <w:outlineLvl w:val="5"/>
      </w:pPr>
      <w:r>
        <w:rPr>
          <w:rFonts w:ascii="仿宋_GB2312" w:hAnsi="仿宋_GB2312" w:cs="仿宋_GB2312" w:eastAsia="仿宋_GB2312"/>
          <w:sz w:val="15"/>
          <w:b/>
        </w:rPr>
        <w:t>建信众诚工程咨询有限公司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西安市李家河水源地环境保护管理站</w:t>
      </w:r>
      <w:r>
        <w:rPr>
          <w:rFonts w:ascii="仿宋_GB2312" w:hAnsi="仿宋_GB2312" w:cs="仿宋_GB2312" w:eastAsia="仿宋_GB2312"/>
        </w:rPr>
        <w:t>委托，拟对</w:t>
      </w:r>
      <w:r>
        <w:rPr>
          <w:rFonts w:ascii="仿宋_GB2312" w:hAnsi="仿宋_GB2312" w:cs="仿宋_GB2312" w:eastAsia="仿宋_GB2312"/>
        </w:rPr>
        <w:t>办公场所租赁项目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JXZB2025-09-30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办公场所租赁项目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租赁安全稳定的场所作为西安市李家河水源地环境保护管理站的办公地点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采购包1（办公场所租赁项目）：属于专门面向小微企业采购。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主体身份：具有独立承担民事责任能力的法人、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财务状况报告：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供应商提供2025年4月至今已缴存的至少1个月的依法缴纳税收的相关凭据（税种须包含增值税或企业所得税或营业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4、社会保障资金缴纳证明：供应商提供2025年4月至今已缴存的至少1个月的社会保障资金缴存单据或社保机构开具的社会保险参保缴费情况证明。依法不需要缴纳社会保障资金的供应商应提供相关证明文件；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5、书面声明：提供具有履行本合同所必需的设备和专业技术能力的说明及承诺；</w:t>
      </w:r>
    </w:p>
    <w:p>
      <w:pPr>
        <w:pStyle w:val="null3"/>
      </w:pPr>
      <w:r>
        <w:rPr>
          <w:rFonts w:ascii="仿宋_GB2312" w:hAnsi="仿宋_GB2312" w:cs="仿宋_GB2312" w:eastAsia="仿宋_GB2312"/>
        </w:rPr>
        <w:t>6、前三年内无重大违法记录：提供参加政府采购活动前三年内在经营活动中没有重大违法记录的书面声明；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8、信用查询：供应商不得为“信用中国”网站 (www.creditchina.gov.cn) 中列入“失信被执行人”和“重大税收违法失信主体”名单的供应商，不得为中国政府采购网 (www.ccgp.gov.cn) “政府采购严重违法失信行为记录名单”中被财政部门禁止参加政府采购活动的供应商；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西安市李家河水源地环境保护管理站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蓝田县辋川镇山底村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029-82815908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雷芳娟、叱干静静、王巧利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采购包1：441,000.00元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采购包1：441,000.00元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参照国家计委颁布的《招标代理服务收费管理暂行办法》（计价格【2002】1980号）和国家发改委办公厅颁布的《国家发改委办公厅关于招标代理服务收费有关问题的通知》（发改办价格【2003】857号）标准文件规定，根据甲乙双方协商本项目招标代理服务采用一口价收费方式，具体费用为人民币6000.00元（大写：陆仟元整）；上述费用在中标单位领取中标通知书后，7日内由甲方向招标代理机构一次性付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西安市李家河水源地环境保护管理站</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西安市李家河水源地环境保护管理站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租赁安全稳定的场所作为西安市李家河水源地环境保护管理站的办公地点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441,000.00</w:t>
      </w:r>
    </w:p>
    <w:p>
      <w:pPr>
        <w:pStyle w:val="null3"/>
      </w:pPr>
      <w:r>
        <w:rPr>
          <w:rFonts w:ascii="仿宋_GB2312" w:hAnsi="仿宋_GB2312" w:cs="仿宋_GB2312" w:eastAsia="仿宋_GB2312"/>
        </w:rPr>
        <w:t>采购包最高限价（元）: 441,000.00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西安市李家河水源地环境保护管理站办公场所租赁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441,000.00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标的名称：西安市李家河水源地环境保护管理站办公场所租赁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租赁安全稳定的场所作为西安市李家河水源地环境保护管理站的办公地点。</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提供可作为办公室、宿舍、食堂、停车等功能区域的场所。</w:t>
            </w:r>
          </w:p>
          <w:p>
            <w:pPr>
              <w:pStyle w:val="null3"/>
            </w:pPr>
            <w:r>
              <w:rPr>
                <w:rFonts w:ascii="仿宋_GB2312" w:hAnsi="仿宋_GB2312" w:cs="仿宋_GB2312" w:eastAsia="仿宋_GB2312"/>
              </w:rPr>
              <w:t>三、服务要求（如对人员配置、专业设备、服务标准等）</w:t>
            </w:r>
          </w:p>
          <w:p>
            <w:pPr>
              <w:pStyle w:val="null3"/>
            </w:pPr>
            <w:r>
              <w:rPr>
                <w:rFonts w:ascii="仿宋_GB2312" w:hAnsi="仿宋_GB2312" w:cs="仿宋_GB2312" w:eastAsia="仿宋_GB2312"/>
              </w:rPr>
              <w:t>1.出租房应保障房屋主体结构完整。</w:t>
            </w:r>
          </w:p>
          <w:p>
            <w:pPr>
              <w:pStyle w:val="null3"/>
            </w:pPr>
            <w:r>
              <w:rPr>
                <w:rFonts w:ascii="仿宋_GB2312" w:hAnsi="仿宋_GB2312" w:cs="仿宋_GB2312" w:eastAsia="仿宋_GB2312"/>
              </w:rPr>
              <w:t>2.出租房应保证房屋符合约定的使用用途，保证正常的水电供应。</w:t>
            </w:r>
          </w:p>
          <w:p>
            <w:pPr>
              <w:pStyle w:val="null3"/>
            </w:pPr>
            <w:r>
              <w:rPr>
                <w:rFonts w:ascii="仿宋_GB2312" w:hAnsi="仿宋_GB2312" w:cs="仿宋_GB2312" w:eastAsia="仿宋_GB2312"/>
              </w:rPr>
              <w:t>3.租赁期间，承租方可根据自己的工作性质和办公需要进行修缮、加固、装修及配套设施建设，在法律规定范围内进行施工，但不得破坏租赁房屋主体结构（修缮、加固、装修费用由承租方自付）。租赁期满后若承租方不再承租，出租方对其装修不作任何补偿。</w:t>
            </w:r>
          </w:p>
          <w:p>
            <w:pPr>
              <w:pStyle w:val="null3"/>
            </w:pPr>
            <w:r>
              <w:rPr>
                <w:rFonts w:ascii="仿宋_GB2312" w:hAnsi="仿宋_GB2312" w:cs="仿宋_GB2312" w:eastAsia="仿宋_GB2312"/>
              </w:rPr>
              <w:t>4.若发生不可抗力事件或意外事件，致使租赁房屋不能正常使用，则出租方应尽快排除障碍、修复或重建。在租赁房屋不能正常使用期间，承租方免交租金，待租赁房屋恢复使用后继续计算租金，合同有效期也相应向后顺延。</w:t>
            </w:r>
          </w:p>
          <w:p>
            <w:pPr>
              <w:pStyle w:val="null3"/>
            </w:pPr>
            <w:r>
              <w:rPr>
                <w:rFonts w:ascii="仿宋_GB2312" w:hAnsi="仿宋_GB2312" w:cs="仿宋_GB2312" w:eastAsia="仿宋_GB2312"/>
              </w:rPr>
              <w:t>5.若发生不可预见的市政规划、土地征用等事件致租赁房屋无法使用，出租方应自收到相关通知后及时告知承租方。双方应按实际租用天数，即时结清租金及其他各项费用。</w:t>
            </w:r>
          </w:p>
          <w:p>
            <w:pPr>
              <w:pStyle w:val="null3"/>
              <w:jc w:val="both"/>
            </w:pPr>
            <w:r>
              <w:rPr>
                <w:rFonts w:ascii="仿宋_GB2312" w:hAnsi="仿宋_GB2312" w:cs="仿宋_GB2312" w:eastAsia="仿宋_GB2312"/>
                <w:sz w:val="21"/>
              </w:rPr>
              <w:t>6.出租方保证拥有完全的资格和权利将所租赁房屋按本合同之约定租赁给承租方。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合同签订后，乙方十个工作日内出具正式发票并送达甲方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合同执行中发生争议的，当事人双方应协商解决，无法协商或协商达不成一致时，双方均有权向甲方所在地人民法院提起诉讼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资格主体身份</w:t>
            </w:r>
          </w:p>
        </w:tc>
        <w:tc>
          <w:tcPr>
            <w:tcW w:type="dxa" w:w="3322"/>
          </w:tcPr>
          <w:p>
            <w:pPr>
              <w:pStyle w:val="null3"/>
            </w:pPr>
            <w:r>
              <w:rPr>
                <w:rFonts w:ascii="仿宋_GB2312" w:hAnsi="仿宋_GB2312" w:cs="仿宋_GB2312" w:eastAsia="仿宋_GB2312"/>
              </w:rPr>
              <w:t>具有独立承担民事责任能力的法人、其他组织或自然人：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4月至今已缴存的至少1个月的依法缴纳税收的相关凭据（税种须包含增值税或企业所得税或营业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供应商提供2025年4月至今已缴存的至少1个月的社会保障资金缴存单据或社保机构开具的社会保险参保缴费情况证明。依法不需要缴纳社会保障资金的供应商应提供相关证明文件；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属于专门面向中小企业采购的项目</w:t>
            </w:r>
          </w:p>
        </w:tc>
        <w:tc>
          <w:tcPr>
            <w:tcW w:type="dxa" w:w="3322"/>
          </w:tcPr>
          <w:p>
            <w:pPr>
              <w:pStyle w:val="null3"/>
            </w:pPr>
            <w:r>
              <w:rPr>
                <w:rFonts w:ascii="仿宋_GB2312" w:hAnsi="仿宋_GB2312" w:cs="仿宋_GB2312" w:eastAsia="仿宋_GB2312"/>
              </w:rPr>
              <w:t>属于专门面向中小企业采购的项目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详见附件：租赁合同.docx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