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7326F">
      <w:pPr>
        <w:spacing w:line="360" w:lineRule="auto"/>
        <w:rPr>
          <w:rFonts w:hint="eastAsia" w:ascii="仿宋" w:hAnsi="仿宋" w:eastAsia="仿宋" w:cs="仿宋"/>
          <w:b/>
          <w:color w:val="auto"/>
          <w:sz w:val="24"/>
          <w:highlight w:val="none"/>
        </w:rPr>
      </w:pPr>
      <w:bookmarkStart w:id="0" w:name="_Toc11035"/>
      <w:bookmarkStart w:id="1" w:name="_Toc191876958"/>
      <w:bookmarkStart w:id="2" w:name="_Toc19188"/>
      <w:r>
        <w:rPr>
          <w:rFonts w:hint="eastAsia" w:ascii="仿宋" w:hAnsi="仿宋" w:eastAsia="仿宋" w:cs="仿宋"/>
          <w:b/>
          <w:color w:val="auto"/>
          <w:sz w:val="24"/>
          <w:highlight w:val="none"/>
        </w:rPr>
        <w:t>政府采购合同格式</w:t>
      </w:r>
    </w:p>
    <w:bookmarkEnd w:id="0"/>
    <w:bookmarkEnd w:id="1"/>
    <w:bookmarkEnd w:id="2"/>
    <w:p w14:paraId="2DA69994">
      <w:pPr>
        <w:pStyle w:val="2"/>
        <w:spacing w:line="360" w:lineRule="auto"/>
        <w:jc w:val="center"/>
        <w:rPr>
          <w:rFonts w:hint="eastAsia" w:ascii="宋体" w:hAnsi="宋体" w:cs="宋体"/>
          <w:color w:val="auto"/>
          <w:sz w:val="32"/>
          <w:szCs w:val="32"/>
          <w:highlight w:val="none"/>
        </w:rPr>
      </w:pPr>
      <w:r>
        <w:rPr>
          <w:rFonts w:hint="eastAsia" w:ascii="仿宋" w:hAnsi="仿宋" w:eastAsia="仿宋" w:cs="仿宋"/>
          <w:color w:val="auto"/>
          <w:sz w:val="36"/>
          <w:highlight w:val="none"/>
        </w:rPr>
        <w:t>合同条款（参考）</w:t>
      </w:r>
    </w:p>
    <w:p w14:paraId="6B5E80A7">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color w:val="auto"/>
          <w:sz w:val="52"/>
          <w:szCs w:val="52"/>
          <w:highlight w:val="none"/>
        </w:rPr>
        <w:t xml:space="preserve"> </w:t>
      </w:r>
      <w:r>
        <w:rPr>
          <w:rFonts w:hint="eastAsia" w:ascii="仿宋" w:hAnsi="仿宋" w:eastAsia="仿宋" w:cs="仿宋"/>
          <w:b/>
          <w:color w:val="auto"/>
          <w:sz w:val="32"/>
          <w:szCs w:val="32"/>
          <w:highlight w:val="none"/>
        </w:rPr>
        <w:t>招采服务2025（</w:t>
      </w:r>
      <w:r>
        <w:rPr>
          <w:rFonts w:hint="eastAsia" w:ascii="仿宋" w:hAnsi="仿宋" w:eastAsia="仿宋" w:cs="仿宋"/>
          <w:b/>
          <w:color w:val="auto"/>
          <w:sz w:val="32"/>
          <w:szCs w:val="32"/>
          <w:highlight w:val="none"/>
          <w:lang w:val="en-US" w:eastAsia="zh-CN"/>
        </w:rPr>
        <w:t xml:space="preserve">  </w:t>
      </w:r>
      <w:r>
        <w:rPr>
          <w:rFonts w:hint="eastAsia" w:ascii="仿宋" w:hAnsi="仿宋" w:eastAsia="仿宋" w:cs="仿宋"/>
          <w:b/>
          <w:color w:val="auto"/>
          <w:sz w:val="32"/>
          <w:szCs w:val="32"/>
          <w:highlight w:val="none"/>
        </w:rPr>
        <w:t xml:space="preserve">）号  </w:t>
      </w:r>
    </w:p>
    <w:p w14:paraId="237A8839">
      <w:pPr>
        <w:rPr>
          <w:rFonts w:hint="eastAsia" w:ascii="仿宋" w:hAnsi="仿宋" w:eastAsia="仿宋" w:cs="仿宋"/>
          <w:b/>
          <w:snapToGrid w:val="0"/>
          <w:color w:val="auto"/>
          <w:sz w:val="48"/>
          <w:szCs w:val="48"/>
          <w:highlight w:val="none"/>
        </w:rPr>
      </w:pPr>
    </w:p>
    <w:p w14:paraId="2EC8A86F">
      <w:pPr>
        <w:ind w:firstLine="2405" w:firstLineChars="499"/>
        <w:rPr>
          <w:rFonts w:hint="eastAsia" w:ascii="仿宋" w:hAnsi="仿宋" w:eastAsia="仿宋" w:cs="仿宋"/>
          <w:b/>
          <w:snapToGrid w:val="0"/>
          <w:color w:val="auto"/>
          <w:sz w:val="48"/>
          <w:szCs w:val="48"/>
          <w:highlight w:val="none"/>
        </w:rPr>
      </w:pPr>
      <w:r>
        <w:rPr>
          <w:rFonts w:hint="eastAsia" w:ascii="仿宋" w:hAnsi="仿宋" w:eastAsia="仿宋" w:cs="仿宋"/>
          <w:b/>
          <w:snapToGrid w:val="0"/>
          <w:color w:val="auto"/>
          <w:sz w:val="48"/>
          <w:szCs w:val="48"/>
          <w:highlight w:val="none"/>
        </w:rPr>
        <w:t>西安市胸科医院</w:t>
      </w:r>
    </w:p>
    <w:p w14:paraId="62F266DD">
      <w:pPr>
        <w:rPr>
          <w:rFonts w:hint="eastAsia" w:ascii="仿宋" w:hAnsi="仿宋" w:eastAsia="仿宋" w:cs="仿宋"/>
          <w:b/>
          <w:snapToGrid w:val="0"/>
          <w:color w:val="auto"/>
          <w:sz w:val="40"/>
          <w:szCs w:val="48"/>
          <w:highlight w:val="none"/>
        </w:rPr>
      </w:pPr>
    </w:p>
    <w:p w14:paraId="08612380">
      <w:pPr>
        <w:jc w:val="center"/>
        <w:rPr>
          <w:rFonts w:hint="eastAsia" w:ascii="仿宋" w:hAnsi="仿宋" w:eastAsia="仿宋" w:cs="仿宋"/>
          <w:b/>
          <w:snapToGrid w:val="0"/>
          <w:color w:val="auto"/>
          <w:sz w:val="40"/>
          <w:szCs w:val="48"/>
          <w:highlight w:val="none"/>
        </w:rPr>
      </w:pPr>
      <w:r>
        <w:rPr>
          <w:rFonts w:hint="eastAsia" w:ascii="仿宋" w:hAnsi="仿宋" w:eastAsia="仿宋" w:cs="仿宋"/>
          <w:b/>
          <w:snapToGrid w:val="0"/>
          <w:color w:val="auto"/>
          <w:sz w:val="40"/>
          <w:szCs w:val="48"/>
          <w:highlight w:val="none"/>
        </w:rPr>
        <w:t xml:space="preserve"> </w:t>
      </w:r>
      <w:r>
        <w:rPr>
          <w:rFonts w:hint="eastAsia" w:ascii="仿宋" w:hAnsi="仿宋" w:eastAsia="仿宋" w:cs="仿宋"/>
          <w:b/>
          <w:snapToGrid w:val="0"/>
          <w:color w:val="auto"/>
          <w:sz w:val="32"/>
          <w:szCs w:val="40"/>
          <w:highlight w:val="none"/>
        </w:rPr>
        <w:t>（项目名称: 预住院和日间手术管理系统采购项目）</w:t>
      </w:r>
    </w:p>
    <w:p w14:paraId="119B989B">
      <w:pPr>
        <w:pStyle w:val="10"/>
        <w:rPr>
          <w:rFonts w:hint="eastAsia" w:ascii="仿宋" w:hAnsi="仿宋" w:eastAsia="仿宋" w:cs="仿宋"/>
          <w:b/>
          <w:snapToGrid w:val="0"/>
          <w:color w:val="auto"/>
          <w:sz w:val="48"/>
          <w:szCs w:val="48"/>
          <w:highlight w:val="none"/>
        </w:rPr>
      </w:pPr>
    </w:p>
    <w:p w14:paraId="193A2124">
      <w:pPr>
        <w:pStyle w:val="10"/>
        <w:rPr>
          <w:rFonts w:hint="eastAsia" w:ascii="仿宋" w:hAnsi="仿宋" w:eastAsia="仿宋" w:cs="仿宋"/>
          <w:b/>
          <w:snapToGrid w:val="0"/>
          <w:color w:val="auto"/>
          <w:sz w:val="48"/>
          <w:szCs w:val="48"/>
          <w:highlight w:val="none"/>
        </w:rPr>
      </w:pPr>
    </w:p>
    <w:p w14:paraId="661629B5">
      <w:pP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服 务 合 同</w:t>
      </w:r>
    </w:p>
    <w:p w14:paraId="7B4AF777">
      <w:pPr>
        <w:pStyle w:val="7"/>
        <w:rPr>
          <w:rFonts w:hint="eastAsia" w:ascii="仿宋" w:hAnsi="仿宋" w:eastAsia="仿宋" w:cs="仿宋"/>
          <w:color w:val="auto"/>
          <w:sz w:val="40"/>
          <w:szCs w:val="40"/>
          <w:highlight w:val="none"/>
        </w:rPr>
      </w:pPr>
    </w:p>
    <w:p w14:paraId="060493F5">
      <w:pPr>
        <w:jc w:val="center"/>
        <w:rPr>
          <w:rFonts w:hint="eastAsia" w:ascii="仿宋" w:hAnsi="仿宋" w:eastAsia="仿宋" w:cs="仿宋"/>
          <w:b/>
          <w:snapToGrid w:val="0"/>
          <w:color w:val="auto"/>
          <w:sz w:val="40"/>
          <w:szCs w:val="48"/>
          <w:highlight w:val="none"/>
        </w:rPr>
      </w:pPr>
      <w:r>
        <w:rPr>
          <w:rFonts w:hint="eastAsia" w:ascii="仿宋" w:hAnsi="仿宋" w:eastAsia="仿宋" w:cs="仿宋"/>
          <w:b/>
          <w:snapToGrid w:val="0"/>
          <w:color w:val="auto"/>
          <w:sz w:val="40"/>
          <w:szCs w:val="48"/>
          <w:highlight w:val="none"/>
        </w:rPr>
        <w:t>（项目编号: ）</w:t>
      </w:r>
    </w:p>
    <w:p w14:paraId="78ACDE11">
      <w:pPr>
        <w:rPr>
          <w:rFonts w:hint="eastAsia" w:ascii="仿宋" w:hAnsi="仿宋" w:eastAsia="仿宋" w:cs="仿宋"/>
          <w:color w:val="auto"/>
          <w:sz w:val="30"/>
          <w:szCs w:val="30"/>
          <w:highlight w:val="none"/>
        </w:rPr>
      </w:pPr>
    </w:p>
    <w:p w14:paraId="1AD017A2">
      <w:pPr>
        <w:jc w:val="center"/>
        <w:rPr>
          <w:rFonts w:hint="eastAsia" w:ascii="仿宋" w:hAnsi="仿宋" w:eastAsia="仿宋" w:cs="仿宋"/>
          <w:color w:val="auto"/>
          <w:sz w:val="30"/>
          <w:szCs w:val="30"/>
          <w:highlight w:val="none"/>
        </w:rPr>
      </w:pPr>
    </w:p>
    <w:p w14:paraId="3C27533B">
      <w:pPr>
        <w:ind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甲  方：西安市胸科医院 </w:t>
      </w:r>
    </w:p>
    <w:p w14:paraId="4BB0CCCF">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乙  方：</w:t>
      </w:r>
    </w:p>
    <w:p w14:paraId="58ADFAE3">
      <w:pPr>
        <w:pStyle w:val="7"/>
        <w:rPr>
          <w:rFonts w:hint="eastAsia" w:ascii="仿宋" w:hAnsi="仿宋" w:eastAsia="仿宋" w:cs="仿宋"/>
          <w:bCs/>
          <w:color w:val="auto"/>
          <w:sz w:val="30"/>
          <w:szCs w:val="30"/>
          <w:highlight w:val="none"/>
        </w:rPr>
      </w:pPr>
      <w:r>
        <w:rPr>
          <w:rFonts w:hint="eastAsia" w:ascii="仿宋" w:hAnsi="仿宋" w:eastAsia="仿宋" w:cs="仿宋"/>
          <w:color w:val="auto"/>
          <w:sz w:val="28"/>
          <w:szCs w:val="28"/>
          <w:highlight w:val="none"/>
        </w:rPr>
        <w:t xml:space="preserve">        鉴证方：</w:t>
      </w:r>
      <w:r>
        <w:rPr>
          <w:rFonts w:hint="eastAsia" w:ascii="仿宋" w:hAnsi="仿宋" w:eastAsia="仿宋" w:cs="仿宋"/>
          <w:b w:val="0"/>
          <w:bCs/>
          <w:color w:val="auto"/>
          <w:sz w:val="28"/>
          <w:highlight w:val="none"/>
        </w:rPr>
        <w:t>龙寰项目管理咨询有限公司</w:t>
      </w:r>
    </w:p>
    <w:p w14:paraId="74C2CF78">
      <w:pPr>
        <w:jc w:val="center"/>
        <w:rPr>
          <w:rFonts w:hint="eastAsia" w:ascii="仿宋" w:hAnsi="仿宋" w:eastAsia="仿宋" w:cs="仿宋"/>
          <w:color w:val="auto"/>
          <w:sz w:val="32"/>
          <w:szCs w:val="32"/>
          <w:highlight w:val="none"/>
        </w:rPr>
      </w:pPr>
    </w:p>
    <w:p w14:paraId="257EC091">
      <w:pPr>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2025年 月</w:t>
      </w:r>
    </w:p>
    <w:p w14:paraId="0AAE35F3">
      <w:pPr>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中国  西安</w:t>
      </w:r>
    </w:p>
    <w:p w14:paraId="58585264">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F5D9920">
      <w:pPr>
        <w:shd w:val="clear" w:color="auto" w:fill="FFFFFF"/>
        <w:snapToGrid w:val="0"/>
        <w:spacing w:line="480" w:lineRule="auto"/>
        <w:ind w:firstLine="482" w:firstLineChars="200"/>
        <w:rPr>
          <w:rFonts w:eastAsia="仿宋_GB2312"/>
          <w:color w:val="auto"/>
          <w:highlight w:val="none"/>
        </w:rPr>
      </w:pPr>
      <w:r>
        <w:rPr>
          <w:rFonts w:hint="eastAsia" w:ascii="仿宋_GB2312" w:hAnsi="仿宋_GB2312" w:eastAsia="仿宋_GB2312" w:cs="仿宋_GB2312"/>
          <w:b/>
          <w:bCs/>
          <w:color w:val="auto"/>
          <w:sz w:val="24"/>
          <w:highlight w:val="none"/>
        </w:rPr>
        <w:t xml:space="preserve">甲方：西安市胸科医院 </w:t>
      </w:r>
    </w:p>
    <w:p w14:paraId="54C82F73">
      <w:pPr>
        <w:shd w:val="clear" w:color="auto" w:fill="FFFFFF"/>
        <w:snapToGrid w:val="0"/>
        <w:spacing w:line="360" w:lineRule="auto"/>
        <w:ind w:firstLine="482" w:firstLineChars="200"/>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b/>
          <w:bCs/>
          <w:color w:val="auto"/>
          <w:sz w:val="24"/>
          <w:highlight w:val="none"/>
        </w:rPr>
        <w:t>乙方：</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8"/>
          <w:szCs w:val="28"/>
          <w:highlight w:val="none"/>
          <w:u w:val="single"/>
        </w:rPr>
        <w:t xml:space="preserve">      </w:t>
      </w:r>
    </w:p>
    <w:p w14:paraId="0D64A614">
      <w:pPr>
        <w:shd w:val="clear" w:color="auto" w:fill="FFFFFF"/>
        <w:spacing w:line="360" w:lineRule="auto"/>
        <w:ind w:firstLine="482" w:firstLineChars="200"/>
        <w:rPr>
          <w:rFonts w:hint="eastAsia" w:ascii="仿宋_GB2312" w:hAnsi="仿宋_GB2312" w:eastAsia="仿宋_GB2312" w:cs="仿宋_GB2312"/>
          <w:b/>
          <w:bCs/>
          <w:color w:val="auto"/>
          <w:sz w:val="24"/>
          <w:szCs w:val="20"/>
          <w:highlight w:val="none"/>
        </w:rPr>
      </w:pPr>
      <w:r>
        <w:rPr>
          <w:rFonts w:hint="eastAsia" w:ascii="仿宋_GB2312" w:hAnsi="仿宋_GB2312" w:eastAsia="仿宋_GB2312" w:cs="仿宋_GB2312"/>
          <w:b/>
          <w:bCs/>
          <w:color w:val="auto"/>
          <w:sz w:val="24"/>
          <w:szCs w:val="20"/>
          <w:highlight w:val="none"/>
        </w:rPr>
        <w:t>鉴证方：</w:t>
      </w:r>
      <w:r>
        <w:rPr>
          <w:rFonts w:hint="eastAsia" w:ascii="仿宋_GB2312" w:hAnsi="仿宋_GB2312" w:eastAsia="仿宋_GB2312" w:cs="仿宋_GB2312"/>
          <w:b/>
          <w:bCs/>
          <w:color w:val="auto"/>
          <w:sz w:val="24"/>
          <w:highlight w:val="none"/>
        </w:rPr>
        <w:t>龙寰项目管理咨询有限公司</w:t>
      </w:r>
    </w:p>
    <w:p w14:paraId="1ED12BEA">
      <w:pPr>
        <w:shd w:val="clear" w:color="auto" w:fill="FFFFFF"/>
        <w:snapToGrid w:val="0"/>
        <w:spacing w:line="384" w:lineRule="auto"/>
        <w:ind w:firstLine="480" w:firstLineChars="200"/>
        <w:jc w:val="left"/>
        <w:rPr>
          <w:rFonts w:hint="eastAsia" w:ascii="仿宋_GB2312" w:hAnsi="仿宋_GB2312" w:eastAsia="仿宋_GB2312" w:cs="仿宋_GB2312"/>
          <w:color w:val="auto"/>
          <w:sz w:val="24"/>
          <w:szCs w:val="24"/>
          <w:highlight w:val="none"/>
        </w:rPr>
      </w:pPr>
    </w:p>
    <w:p w14:paraId="598E8161">
      <w:pPr>
        <w:shd w:val="clear" w:color="auto" w:fill="FFFFFF"/>
        <w:snapToGrid w:val="0"/>
        <w:spacing w:line="384"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西安市胸科医院的预住院和日间手术管理系统采购项目经竞争性磋商进行采购。经磋商小组评定</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为成交供应商。采购人与成交供应商协商一致，同意按照下列条款，签订本合同。</w:t>
      </w:r>
    </w:p>
    <w:p w14:paraId="4B064A1E">
      <w:pPr>
        <w:shd w:val="clear" w:color="auto" w:fill="FFFFFF"/>
        <w:tabs>
          <w:tab w:val="left" w:pos="425"/>
        </w:tabs>
        <w:snapToGrid w:val="0"/>
        <w:spacing w:line="384" w:lineRule="auto"/>
        <w:textAlignment w:val="baseline"/>
        <w:rPr>
          <w:rFonts w:hint="eastAsia" w:ascii="仿宋_GB2312" w:hAnsi="仿宋_GB2312" w:eastAsia="仿宋_GB2312" w:cs="仿宋_GB2312"/>
          <w:b/>
          <w:bCs/>
          <w:color w:val="auto"/>
          <w:sz w:val="24"/>
          <w:highlight w:val="none"/>
        </w:rPr>
      </w:pPr>
      <w:r>
        <w:rPr>
          <w:rFonts w:hint="eastAsia" w:ascii="仿宋_GB2312" w:hAnsi="仿宋_GB2312" w:eastAsia="仿宋_GB2312" w:cs="仿宋_GB2312"/>
          <w:b/>
          <w:bCs/>
          <w:color w:val="auto"/>
          <w:sz w:val="24"/>
          <w:highlight w:val="none"/>
        </w:rPr>
        <w:t>一、采购内容</w:t>
      </w:r>
    </w:p>
    <w:p w14:paraId="4B563F9C">
      <w:pPr>
        <w:shd w:val="clear" w:color="auto" w:fill="FFFFFF"/>
        <w:snapToGrid w:val="0"/>
        <w:spacing w:line="384" w:lineRule="auto"/>
        <w:ind w:firstLine="480" w:firstLineChars="200"/>
        <w:rPr>
          <w:rFonts w:hint="eastAsia" w:ascii="仿宋_GB2312" w:hAnsi="仿宋_GB2312" w:eastAsia="仿宋_GB2312" w:cs="仿宋_GB2312"/>
          <w:color w:val="auto"/>
          <w:sz w:val="24"/>
          <w:szCs w:val="22"/>
          <w:highlight w:val="none"/>
          <w:u w:val="single"/>
        </w:rPr>
      </w:pPr>
      <w:r>
        <w:rPr>
          <w:rFonts w:hint="eastAsia" w:ascii="仿宋_GB2312" w:hAnsi="仿宋_GB2312" w:eastAsia="仿宋_GB2312" w:cs="仿宋_GB2312"/>
          <w:color w:val="auto"/>
          <w:sz w:val="24"/>
          <w:highlight w:val="none"/>
        </w:rPr>
        <w:t>本项目包括：预住院和日间手术管理系统采购</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lang w:val="en-US" w:eastAsia="zh-CN"/>
        </w:rPr>
        <w:t>具体详见磋商文件及响应文件</w:t>
      </w:r>
      <w:r>
        <w:rPr>
          <w:rFonts w:hint="eastAsia" w:ascii="仿宋_GB2312" w:hAnsi="仿宋_GB2312" w:eastAsia="仿宋_GB2312" w:cs="仿宋_GB2312"/>
          <w:color w:val="auto"/>
          <w:sz w:val="24"/>
          <w:szCs w:val="22"/>
          <w:highlight w:val="none"/>
          <w:u w:val="single"/>
        </w:rPr>
        <w:t>。</w:t>
      </w:r>
    </w:p>
    <w:p w14:paraId="46D30DED">
      <w:pPr>
        <w:shd w:val="clear" w:color="auto" w:fill="FFFFFF"/>
        <w:tabs>
          <w:tab w:val="left" w:pos="425"/>
        </w:tabs>
        <w:snapToGrid w:val="0"/>
        <w:spacing w:line="384" w:lineRule="auto"/>
        <w:textAlignment w:val="baseline"/>
        <w:rPr>
          <w:rFonts w:hint="eastAsia" w:ascii="仿宋_GB2312" w:hAnsi="仿宋_GB2312" w:eastAsia="仿宋_GB2312" w:cs="仿宋_GB2312"/>
          <w:b/>
          <w:bCs/>
          <w:color w:val="auto"/>
          <w:sz w:val="24"/>
          <w:highlight w:val="none"/>
        </w:rPr>
      </w:pPr>
      <w:r>
        <w:rPr>
          <w:rFonts w:hint="eastAsia" w:ascii="仿宋_GB2312" w:hAnsi="仿宋_GB2312" w:eastAsia="仿宋_GB2312" w:cs="仿宋_GB2312"/>
          <w:b/>
          <w:bCs/>
          <w:color w:val="auto"/>
          <w:sz w:val="24"/>
          <w:highlight w:val="none"/>
        </w:rPr>
        <w:t>二、项目服务期限及地点</w:t>
      </w:r>
    </w:p>
    <w:p w14:paraId="29CA172A">
      <w:pPr>
        <w:shd w:val="clear" w:color="auto" w:fill="FFFFFF"/>
        <w:snapToGrid w:val="0"/>
        <w:spacing w:line="384" w:lineRule="auto"/>
        <w:ind w:firstLine="480" w:firstLineChars="200"/>
        <w:rPr>
          <w:rFonts w:hint="eastAsia" w:ascii="仿宋_GB2312" w:hAnsi="仿宋_GB2312" w:eastAsia="仿宋_GB2312" w:cs="仿宋_GB2312"/>
          <w:color w:val="auto"/>
          <w:sz w:val="24"/>
          <w:highlight w:val="none"/>
          <w:u w:val="single"/>
        </w:rPr>
      </w:pPr>
      <w:r>
        <w:rPr>
          <w:rFonts w:hint="eastAsia" w:ascii="仿宋_GB2312" w:hAnsi="仿宋_GB2312" w:eastAsia="仿宋_GB2312" w:cs="仿宋_GB2312"/>
          <w:color w:val="auto"/>
          <w:sz w:val="24"/>
          <w:highlight w:val="none"/>
        </w:rPr>
        <w:t>本项目服务期限为</w:t>
      </w:r>
      <w:r>
        <w:rPr>
          <w:rFonts w:hint="eastAsia" w:ascii="仿宋_GB2312" w:hAnsi="仿宋_GB2312" w:eastAsia="仿宋_GB2312" w:cs="仿宋_GB2312"/>
          <w:color w:val="auto"/>
          <w:sz w:val="24"/>
          <w:highlight w:val="none"/>
          <w:u w:val="single"/>
        </w:rPr>
        <w:t>合同签订后   个月内，完成本项目内容整体交付工作。</w:t>
      </w:r>
    </w:p>
    <w:p w14:paraId="48E76679">
      <w:pPr>
        <w:shd w:val="clear" w:color="auto" w:fill="FFFFFF"/>
        <w:snapToGrid w:val="0"/>
        <w:spacing w:line="384" w:lineRule="auto"/>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服务地点为</w:t>
      </w:r>
      <w:r>
        <w:rPr>
          <w:rFonts w:hint="eastAsia" w:ascii="仿宋_GB2312" w:hAnsi="仿宋_GB2312" w:eastAsia="仿宋_GB2312" w:cs="仿宋_GB2312"/>
          <w:color w:val="auto"/>
          <w:sz w:val="24"/>
          <w:highlight w:val="none"/>
          <w:u w:val="single"/>
        </w:rPr>
        <w:t>甲方指定地点</w:t>
      </w:r>
      <w:r>
        <w:rPr>
          <w:rFonts w:hint="eastAsia" w:ascii="仿宋_GB2312" w:hAnsi="仿宋_GB2312" w:eastAsia="仿宋_GB2312" w:cs="仿宋_GB2312"/>
          <w:color w:val="auto"/>
          <w:sz w:val="24"/>
          <w:highlight w:val="none"/>
        </w:rPr>
        <w:t>。</w:t>
      </w:r>
    </w:p>
    <w:p w14:paraId="4AD8348D">
      <w:pPr>
        <w:shd w:val="clear" w:color="auto" w:fill="FFFFFF"/>
        <w:snapToGrid w:val="0"/>
        <w:spacing w:line="384" w:lineRule="auto"/>
        <w:ind w:firstLine="480" w:firstLineChars="200"/>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eastAsia="zh-CN"/>
        </w:rPr>
        <w:t>质量保证期：</w:t>
      </w:r>
      <w:r>
        <w:rPr>
          <w:rFonts w:hint="eastAsia" w:ascii="仿宋_GB2312" w:hAnsi="仿宋_GB2312" w:eastAsia="仿宋_GB2312" w:cs="仿宋_GB2312"/>
          <w:color w:val="auto"/>
          <w:sz w:val="24"/>
          <w:highlight w:val="none"/>
          <w:lang w:val="en-US" w:eastAsia="zh-CN"/>
        </w:rPr>
        <w:t xml:space="preserve">   年，从项目验收合格之日起算。</w:t>
      </w:r>
    </w:p>
    <w:p w14:paraId="7052FCFB">
      <w:pPr>
        <w:shd w:val="clear" w:color="auto" w:fill="FFFFFF"/>
        <w:tabs>
          <w:tab w:val="left" w:pos="425"/>
        </w:tabs>
        <w:snapToGrid w:val="0"/>
        <w:spacing w:line="384" w:lineRule="auto"/>
        <w:textAlignment w:val="baseline"/>
        <w:rPr>
          <w:rFonts w:hint="eastAsia" w:ascii="仿宋_GB2312" w:hAnsi="仿宋_GB2312" w:eastAsia="仿宋_GB2312" w:cs="仿宋_GB2312"/>
          <w:b/>
          <w:bCs/>
          <w:color w:val="auto"/>
          <w:sz w:val="24"/>
          <w:highlight w:val="none"/>
        </w:rPr>
      </w:pPr>
      <w:r>
        <w:rPr>
          <w:rFonts w:hint="eastAsia" w:ascii="仿宋_GB2312" w:hAnsi="仿宋_GB2312" w:eastAsia="仿宋_GB2312" w:cs="仿宋_GB2312"/>
          <w:b/>
          <w:bCs/>
          <w:color w:val="auto"/>
          <w:sz w:val="24"/>
          <w:highlight w:val="none"/>
        </w:rPr>
        <w:t>三、合同文件及解释</w:t>
      </w:r>
    </w:p>
    <w:p w14:paraId="3AC01EE6">
      <w:pPr>
        <w:shd w:val="clear" w:color="auto" w:fill="FFFFFF"/>
        <w:snapToGrid w:val="0"/>
        <w:spacing w:line="384" w:lineRule="auto"/>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 xml:space="preserve">    下列文件构成本合同的组成部分，应当认为是一个整体，彼此相互解释，相互补充。为了便于解释，组成合同的多个文件的优先支配地位的次序如下：</w:t>
      </w:r>
    </w:p>
    <w:p w14:paraId="776E1ED0">
      <w:pPr>
        <w:numPr>
          <w:ilvl w:val="0"/>
          <w:numId w:val="1"/>
        </w:numPr>
        <w:shd w:val="clear" w:color="auto" w:fill="FFFFFF"/>
        <w:snapToGrid w:val="0"/>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本合同书</w:t>
      </w:r>
    </w:p>
    <w:p w14:paraId="56A119C8">
      <w:pPr>
        <w:numPr>
          <w:ilvl w:val="0"/>
          <w:numId w:val="1"/>
        </w:numPr>
        <w:shd w:val="clear" w:color="auto" w:fill="FFFFFF"/>
        <w:snapToGrid w:val="0"/>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成交通知书</w:t>
      </w:r>
    </w:p>
    <w:p w14:paraId="7D66F02F">
      <w:pPr>
        <w:numPr>
          <w:ilvl w:val="0"/>
          <w:numId w:val="1"/>
        </w:numPr>
        <w:shd w:val="clear" w:color="auto" w:fill="FFFFFF"/>
        <w:snapToGrid w:val="0"/>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合同特殊条款</w:t>
      </w:r>
    </w:p>
    <w:p w14:paraId="711935CE">
      <w:pPr>
        <w:numPr>
          <w:ilvl w:val="0"/>
          <w:numId w:val="1"/>
        </w:numPr>
        <w:shd w:val="clear" w:color="auto" w:fill="FFFFFF"/>
        <w:snapToGrid w:val="0"/>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合同一般条款</w:t>
      </w:r>
    </w:p>
    <w:p w14:paraId="6F320E0E">
      <w:pPr>
        <w:numPr>
          <w:ilvl w:val="0"/>
          <w:numId w:val="1"/>
        </w:numPr>
        <w:shd w:val="clear" w:color="auto" w:fill="FFFFFF"/>
        <w:snapToGrid w:val="0"/>
        <w:spacing w:line="384" w:lineRule="auto"/>
        <w:ind w:firstLine="480" w:firstLineChars="200"/>
        <w:rPr>
          <w:color w:val="auto"/>
          <w:highlight w:val="none"/>
        </w:rPr>
      </w:pPr>
      <w:r>
        <w:rPr>
          <w:rFonts w:hint="eastAsia" w:ascii="仿宋_GB2312" w:hAnsi="仿宋_GB2312" w:eastAsia="仿宋_GB2312" w:cs="仿宋_GB2312"/>
          <w:color w:val="auto"/>
          <w:kern w:val="28"/>
          <w:sz w:val="24"/>
          <w:highlight w:val="none"/>
        </w:rPr>
        <w:t>竞争性磋商文件</w:t>
      </w:r>
    </w:p>
    <w:p w14:paraId="6E52106A">
      <w:pPr>
        <w:numPr>
          <w:ilvl w:val="0"/>
          <w:numId w:val="1"/>
        </w:numPr>
        <w:shd w:val="clear" w:color="auto" w:fill="FFFFFF"/>
        <w:snapToGrid w:val="0"/>
        <w:spacing w:line="384" w:lineRule="auto"/>
        <w:ind w:firstLine="480" w:firstLineChars="200"/>
        <w:rPr>
          <w:color w:val="auto"/>
          <w:highlight w:val="none"/>
        </w:rPr>
      </w:pPr>
      <w:r>
        <w:rPr>
          <w:rFonts w:hint="eastAsia" w:ascii="仿宋_GB2312" w:hAnsi="仿宋_GB2312" w:eastAsia="仿宋_GB2312" w:cs="仿宋_GB2312"/>
          <w:color w:val="auto"/>
          <w:kern w:val="28"/>
          <w:sz w:val="24"/>
          <w:highlight w:val="none"/>
        </w:rPr>
        <w:t>响应文件（含澄清文件）</w:t>
      </w:r>
    </w:p>
    <w:p w14:paraId="5D4CB0E9">
      <w:pPr>
        <w:numPr>
          <w:ilvl w:val="0"/>
          <w:numId w:val="1"/>
        </w:numPr>
        <w:shd w:val="clear" w:color="auto" w:fill="FFFFFF"/>
        <w:snapToGrid w:val="0"/>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成交通知书其他内容（含成交通知书补充通知）</w:t>
      </w:r>
    </w:p>
    <w:p w14:paraId="622BC4F7">
      <w:pPr>
        <w:shd w:val="clear" w:color="auto" w:fill="FFFFFF"/>
        <w:tabs>
          <w:tab w:val="left" w:pos="425"/>
        </w:tabs>
        <w:snapToGrid w:val="0"/>
        <w:spacing w:line="384" w:lineRule="auto"/>
        <w:textAlignment w:val="baseline"/>
        <w:rPr>
          <w:rFonts w:hint="eastAsia" w:ascii="仿宋_GB2312" w:hAnsi="仿宋_GB2312" w:eastAsia="仿宋_GB2312" w:cs="仿宋_GB2312"/>
          <w:b/>
          <w:bCs/>
          <w:color w:val="auto"/>
          <w:sz w:val="24"/>
          <w:highlight w:val="none"/>
        </w:rPr>
      </w:pPr>
      <w:r>
        <w:rPr>
          <w:rFonts w:hint="eastAsia" w:ascii="仿宋_GB2312" w:hAnsi="仿宋_GB2312" w:eastAsia="仿宋_GB2312" w:cs="仿宋_GB2312"/>
          <w:b/>
          <w:bCs/>
          <w:color w:val="auto"/>
          <w:sz w:val="24"/>
          <w:highlight w:val="none"/>
        </w:rPr>
        <w:t>四、合同价款、结算与支付</w:t>
      </w:r>
    </w:p>
    <w:p w14:paraId="44302E44">
      <w:pPr>
        <w:shd w:val="clear" w:color="auto" w:fill="FFFFFF"/>
        <w:snapToGrid w:val="0"/>
        <w:spacing w:line="384" w:lineRule="auto"/>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1、本合同总价款</w:t>
      </w:r>
    </w:p>
    <w:p w14:paraId="076BCE2F">
      <w:pPr>
        <w:spacing w:line="384" w:lineRule="auto"/>
        <w:ind w:left="1" w:firstLine="480" w:firstLineChars="200"/>
        <w:rPr>
          <w:rFonts w:hint="eastAsia" w:ascii="仿宋" w:hAnsi="仿宋" w:eastAsia="仿宋"/>
          <w:color w:val="auto"/>
          <w:sz w:val="24"/>
          <w:szCs w:val="24"/>
          <w:highlight w:val="none"/>
        </w:rPr>
      </w:pPr>
      <w:r>
        <w:rPr>
          <w:rFonts w:hint="eastAsia" w:ascii="仿宋" w:hAnsi="仿宋" w:eastAsia="仿宋"/>
          <w:color w:val="auto"/>
          <w:sz w:val="24"/>
          <w:szCs w:val="24"/>
          <w:highlight w:val="none"/>
        </w:rPr>
        <w:t>本合同总价款为</w:t>
      </w:r>
      <w:r>
        <w:rPr>
          <w:rFonts w:hint="eastAsia" w:ascii="仿宋" w:hAnsi="仿宋" w:eastAsia="仿宋"/>
          <w:color w:val="auto"/>
          <w:sz w:val="24"/>
          <w:szCs w:val="24"/>
          <w:highlight w:val="none"/>
          <w:u w:val="single"/>
        </w:rPr>
        <w:t xml:space="preserve">       （人民币大写：       ) ，本价格为价税合计价款，包含完成本项目软件产品购置费、所有技术服务费和配合费、管理费、验收、税金、利润、培训、售后服务及全部明示和暗示的风险及本项目所涵盖的一切费用。</w:t>
      </w:r>
    </w:p>
    <w:p w14:paraId="4DD18EA1">
      <w:pPr>
        <w:pStyle w:val="11"/>
        <w:spacing w:line="460" w:lineRule="exact"/>
        <w:ind w:firstLine="0" w:firstLineChars="0"/>
        <w:jc w:val="left"/>
        <w:rPr>
          <w:rFonts w:hint="eastAsia" w:ascii="仿宋" w:hAnsi="仿宋" w:eastAsia="仿宋" w:cs="仿宋"/>
          <w:color w:val="auto"/>
          <w:sz w:val="24"/>
          <w:highlight w:val="none"/>
        </w:rPr>
      </w:pPr>
      <w:r>
        <w:rPr>
          <w:rFonts w:hint="eastAsia" w:ascii="仿宋_GB2312" w:hAnsi="仿宋_GB2312" w:eastAsia="仿宋_GB2312" w:cs="仿宋_GB2312"/>
          <w:color w:val="auto"/>
          <w:kern w:val="28"/>
          <w:sz w:val="24"/>
          <w:highlight w:val="none"/>
        </w:rPr>
        <w:t>2、</w:t>
      </w:r>
      <w:r>
        <w:rPr>
          <w:rFonts w:hint="eastAsia" w:ascii="仿宋" w:hAnsi="仿宋" w:eastAsia="仿宋" w:cs="仿宋"/>
          <w:color w:val="auto"/>
          <w:sz w:val="24"/>
          <w:highlight w:val="none"/>
        </w:rPr>
        <w:t>合同总价一次性包死，不受市场价格变化因素的影响。</w:t>
      </w:r>
    </w:p>
    <w:p w14:paraId="38869B38">
      <w:pPr>
        <w:shd w:val="clear" w:color="auto" w:fill="FFFFFF"/>
        <w:snapToGrid w:val="0"/>
        <w:spacing w:line="384" w:lineRule="auto"/>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3、支付方式</w:t>
      </w:r>
    </w:p>
    <w:p w14:paraId="1B4E35B7">
      <w:pPr>
        <w:spacing w:line="384" w:lineRule="auto"/>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 xml:space="preserve">   付款条件说明：合同签订乙方正式进场后，乙方向甲方提供等额正规发票14日内，支付合同总金额的 70.00%。项目终验合格后，乙方开具剩余合同总金额的正规发票后14日内，支付合同总金额的 25.00%。</w:t>
      </w:r>
      <w:r>
        <w:rPr>
          <w:rFonts w:hint="eastAsia" w:ascii="仿宋_GB2312" w:hAnsi="仿宋_GB2312" w:eastAsia="仿宋_GB2312" w:cs="仿宋_GB2312"/>
          <w:color w:val="auto"/>
          <w:kern w:val="28"/>
          <w:sz w:val="24"/>
          <w:highlight w:val="none"/>
          <w:lang w:val="en-US" w:eastAsia="zh-CN"/>
        </w:rPr>
        <w:t>服务期到期后</w:t>
      </w:r>
      <w:r>
        <w:rPr>
          <w:rFonts w:hint="eastAsia" w:ascii="仿宋_GB2312" w:hAnsi="仿宋_GB2312" w:eastAsia="仿宋_GB2312" w:cs="仿宋_GB2312"/>
          <w:color w:val="auto"/>
          <w:kern w:val="28"/>
          <w:sz w:val="24"/>
          <w:highlight w:val="none"/>
        </w:rPr>
        <w:t>，经甲方确认无质量或服务问题，无息支付合同总金额的 5.00%。</w:t>
      </w:r>
    </w:p>
    <w:p w14:paraId="226F6E4C">
      <w:pPr>
        <w:spacing w:line="384" w:lineRule="auto"/>
        <w:ind w:firstLine="480" w:firstLineChars="200"/>
        <w:rPr>
          <w:rFonts w:hint="eastAsia" w:ascii="仿宋_GB2312" w:hAnsi="仿宋_GB2312" w:eastAsia="仿宋_GB2312" w:cs="仿宋_GB2312"/>
          <w:color w:val="auto"/>
          <w:kern w:val="28"/>
          <w:sz w:val="24"/>
          <w:szCs w:val="22"/>
          <w:highlight w:val="none"/>
        </w:rPr>
      </w:pPr>
      <w:r>
        <w:rPr>
          <w:rFonts w:hint="eastAsia" w:ascii="仿宋_GB2312" w:hAnsi="仿宋_GB2312" w:eastAsia="仿宋_GB2312" w:cs="仿宋_GB2312"/>
          <w:color w:val="auto"/>
          <w:kern w:val="28"/>
          <w:sz w:val="24"/>
          <w:highlight w:val="none"/>
        </w:rPr>
        <w:t>银行转账。乙方要如实开具发票，不得变更开票内容，乙方开具发票出现税务争议时，乙方需承担税款、滞纳金、罚款等赔偿责任以及其他相关责任。</w:t>
      </w:r>
    </w:p>
    <w:p w14:paraId="27E711A8">
      <w:pPr>
        <w:shd w:val="clear" w:color="auto" w:fill="FFFFFF"/>
        <w:tabs>
          <w:tab w:val="left" w:pos="425"/>
        </w:tabs>
        <w:snapToGrid w:val="0"/>
        <w:spacing w:line="384" w:lineRule="auto"/>
        <w:textAlignment w:val="baseline"/>
        <w:rPr>
          <w:rFonts w:hint="eastAsia" w:ascii="仿宋_GB2312" w:hAnsi="仿宋_GB2312" w:eastAsia="仿宋_GB2312" w:cs="仿宋_GB2312"/>
          <w:b/>
          <w:bCs/>
          <w:color w:val="auto"/>
          <w:sz w:val="24"/>
          <w:highlight w:val="none"/>
        </w:rPr>
      </w:pPr>
      <w:r>
        <w:rPr>
          <w:rFonts w:hint="eastAsia" w:ascii="仿宋_GB2312" w:hAnsi="仿宋_GB2312" w:eastAsia="仿宋_GB2312" w:cs="仿宋_GB2312"/>
          <w:b/>
          <w:bCs/>
          <w:color w:val="auto"/>
          <w:sz w:val="24"/>
          <w:highlight w:val="none"/>
        </w:rPr>
        <w:t>五、权利与义务</w:t>
      </w:r>
    </w:p>
    <w:p w14:paraId="669D2EC6">
      <w:pPr>
        <w:shd w:val="clear" w:color="auto" w:fill="FFFFFF"/>
        <w:tabs>
          <w:tab w:val="left" w:pos="425"/>
        </w:tabs>
        <w:snapToGrid w:val="0"/>
        <w:spacing w:line="384" w:lineRule="auto"/>
        <w:textAlignment w:val="baseline"/>
        <w:rPr>
          <w:rFonts w:hint="eastAsia" w:ascii="仿宋_GB2312" w:hAnsi="仿宋_GB2312" w:eastAsia="仿宋_GB2312" w:cs="仿宋_GB2312"/>
          <w:b/>
          <w:bCs/>
          <w:color w:val="auto"/>
          <w:sz w:val="24"/>
          <w:highlight w:val="none"/>
        </w:rPr>
      </w:pPr>
      <w:r>
        <w:rPr>
          <w:rFonts w:hint="eastAsia" w:ascii="仿宋_GB2312" w:hAnsi="仿宋_GB2312" w:eastAsia="仿宋_GB2312" w:cs="仿宋_GB2312"/>
          <w:b/>
          <w:bCs/>
          <w:color w:val="auto"/>
          <w:sz w:val="24"/>
          <w:highlight w:val="none"/>
        </w:rPr>
        <w:t>（一）甲方的权利与义务</w:t>
      </w:r>
    </w:p>
    <w:p w14:paraId="37184C7B">
      <w:pPr>
        <w:shd w:val="clear" w:color="auto" w:fill="FFFFFF"/>
        <w:snapToGrid w:val="0"/>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1、甲方或甲方协调其它相关单位，及时、准确向乙方提供为履行本合同所需的资料。</w:t>
      </w:r>
    </w:p>
    <w:p w14:paraId="3A3AC966">
      <w:pPr>
        <w:shd w:val="clear" w:color="auto" w:fill="FFFFFF"/>
        <w:snapToGrid w:val="0"/>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2、甲方有权对乙方提供服务的全过程进行监督，对其进行考核、验收。</w:t>
      </w:r>
    </w:p>
    <w:p w14:paraId="7C4D292A">
      <w:pPr>
        <w:pStyle w:val="4"/>
        <w:spacing w:line="384" w:lineRule="auto"/>
        <w:ind w:firstLine="480" w:firstLineChars="200"/>
        <w:jc w:val="both"/>
        <w:rPr>
          <w:rFonts w:hint="eastAsia" w:ascii="仿宋_GB2312" w:hAnsi="仿宋_GB2312" w:eastAsia="仿宋_GB2312" w:cs="仿宋_GB2312"/>
          <w:b w:val="0"/>
          <w:color w:val="auto"/>
          <w:spacing w:val="0"/>
          <w:w w:val="100"/>
          <w:kern w:val="28"/>
          <w:sz w:val="24"/>
          <w:highlight w:val="none"/>
        </w:rPr>
      </w:pPr>
      <w:r>
        <w:rPr>
          <w:rFonts w:hint="eastAsia" w:ascii="仿宋_GB2312" w:hAnsi="仿宋_GB2312" w:eastAsia="仿宋_GB2312" w:cs="仿宋_GB2312"/>
          <w:b w:val="0"/>
          <w:color w:val="auto"/>
          <w:spacing w:val="0"/>
          <w:w w:val="100"/>
          <w:kern w:val="28"/>
          <w:sz w:val="24"/>
          <w:highlight w:val="none"/>
        </w:rPr>
        <w:t>3、甲方有权要求乙方提供的服务所涉及的第三方权利进行免责。</w:t>
      </w:r>
    </w:p>
    <w:p w14:paraId="53D7A01E">
      <w:pPr>
        <w:shd w:val="clear" w:color="auto" w:fill="FFFFFF"/>
        <w:snapToGrid w:val="0"/>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4、甲方有义务保证按合同所规定的内容及时间支付乙方相关费用。</w:t>
      </w:r>
    </w:p>
    <w:p w14:paraId="60AD1E64">
      <w:pPr>
        <w:shd w:val="clear" w:color="auto" w:fill="FFFFFF"/>
        <w:tabs>
          <w:tab w:val="left" w:pos="425"/>
        </w:tabs>
        <w:snapToGrid w:val="0"/>
        <w:spacing w:line="384" w:lineRule="auto"/>
        <w:textAlignment w:val="baseline"/>
        <w:rPr>
          <w:rFonts w:hint="eastAsia" w:ascii="仿宋_GB2312" w:hAnsi="仿宋_GB2312" w:eastAsia="仿宋_GB2312" w:cs="仿宋_GB2312"/>
          <w:b/>
          <w:bCs/>
          <w:color w:val="auto"/>
          <w:sz w:val="24"/>
          <w:highlight w:val="none"/>
        </w:rPr>
      </w:pPr>
      <w:r>
        <w:rPr>
          <w:rFonts w:hint="eastAsia" w:ascii="仿宋_GB2312" w:hAnsi="仿宋_GB2312" w:eastAsia="仿宋_GB2312" w:cs="仿宋_GB2312"/>
          <w:b/>
          <w:bCs/>
          <w:color w:val="auto"/>
          <w:sz w:val="24"/>
          <w:highlight w:val="none"/>
        </w:rPr>
        <w:t>（二）乙方的权利与义务</w:t>
      </w:r>
    </w:p>
    <w:p w14:paraId="6C73BAF7">
      <w:pPr>
        <w:spacing w:line="384" w:lineRule="auto"/>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8"/>
          <w:sz w:val="24"/>
          <w:highlight w:val="none"/>
        </w:rPr>
        <w:t>1、乙方应</w:t>
      </w:r>
      <w:r>
        <w:rPr>
          <w:rFonts w:hint="eastAsia" w:ascii="仿宋_GB2312" w:hAnsi="仿宋_GB2312" w:eastAsia="仿宋_GB2312" w:cs="仿宋_GB2312"/>
          <w:color w:val="auto"/>
          <w:sz w:val="24"/>
          <w:highlight w:val="none"/>
        </w:rPr>
        <w:t>按本合同的规定完成服务。</w:t>
      </w:r>
    </w:p>
    <w:p w14:paraId="2ED8915D">
      <w:pPr>
        <w:spacing w:line="384" w:lineRule="auto"/>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kern w:val="28"/>
          <w:sz w:val="24"/>
          <w:highlight w:val="none"/>
        </w:rPr>
        <w:t>2、乙方有权要求甲方按照具体情况提供必要的服务资料、服务条件</w:t>
      </w:r>
      <w:r>
        <w:rPr>
          <w:rFonts w:hint="eastAsia" w:ascii="仿宋_GB2312" w:hAnsi="仿宋_GB2312" w:eastAsia="仿宋_GB2312" w:cs="仿宋_GB2312"/>
          <w:color w:val="auto"/>
          <w:sz w:val="24"/>
          <w:highlight w:val="none"/>
        </w:rPr>
        <w:t>。</w:t>
      </w:r>
    </w:p>
    <w:p w14:paraId="454D6B89">
      <w:pPr>
        <w:pStyle w:val="3"/>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3、乙方有义务配合甲方参与项目监督、考核和验收工作，并确保所服务项目内容符合本项目质量标准。如经甲方验收不合格的，乙方需对不合格部分进行整改直至合格，且对于不合格部分的费用甲方有权依照合同约定价款予以核减，因整改导致的项目延期乙方应按合同约定承担违约责任。</w:t>
      </w:r>
    </w:p>
    <w:p w14:paraId="46233CF0">
      <w:pPr>
        <w:pStyle w:val="3"/>
        <w:spacing w:line="384" w:lineRule="auto"/>
        <w:ind w:firstLine="480" w:firstLineChars="200"/>
        <w:rPr>
          <w:rFonts w:hint="eastAsia" w:ascii="仿宋_GB2312" w:hAnsi="仿宋_GB2312" w:eastAsia="仿宋_GB2312" w:cs="仿宋_GB2312"/>
          <w:color w:val="auto"/>
          <w:kern w:val="28"/>
          <w:sz w:val="24"/>
          <w:highlight w:val="none"/>
        </w:rPr>
      </w:pPr>
      <w:r>
        <w:rPr>
          <w:rFonts w:hint="eastAsia" w:ascii="仿宋_GB2312" w:hAnsi="仿宋_GB2312" w:eastAsia="仿宋_GB2312" w:cs="仿宋_GB2312"/>
          <w:color w:val="auto"/>
          <w:kern w:val="28"/>
          <w:sz w:val="24"/>
          <w:highlight w:val="none"/>
        </w:rPr>
        <w:t>4、非经甲方同意，乙方不得将本合同项下的服务项目转包或分包给其他第三方，不得将本合同项下的权利义务转让给第三人。</w:t>
      </w:r>
    </w:p>
    <w:p w14:paraId="131F2EB8">
      <w:pPr>
        <w:pStyle w:val="3"/>
        <w:spacing w:line="384" w:lineRule="auto"/>
        <w:ind w:firstLine="480" w:firstLineChars="200"/>
        <w:rPr>
          <w:rFonts w:hint="eastAsia" w:ascii="仿宋" w:hAnsi="仿宋" w:eastAsia="仿宋"/>
          <w:color w:val="auto"/>
          <w:sz w:val="24"/>
          <w:szCs w:val="24"/>
          <w:highlight w:val="none"/>
        </w:rPr>
      </w:pPr>
      <w:r>
        <w:rPr>
          <w:rFonts w:hint="eastAsia" w:ascii="仿宋_GB2312" w:hAnsi="仿宋_GB2312" w:eastAsia="仿宋_GB2312" w:cs="仿宋_GB2312"/>
          <w:color w:val="auto"/>
          <w:kern w:val="28"/>
          <w:sz w:val="24"/>
          <w:highlight w:val="none"/>
        </w:rPr>
        <w:t>5、</w:t>
      </w:r>
      <w:r>
        <w:rPr>
          <w:rFonts w:hint="eastAsia" w:ascii="仿宋" w:hAnsi="仿宋" w:eastAsia="仿宋"/>
          <w:color w:val="auto"/>
          <w:sz w:val="24"/>
          <w:szCs w:val="24"/>
          <w:highlight w:val="none"/>
        </w:rPr>
        <w:t>乙方项目负责人为</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，电话</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rPr>
        <w:t>。</w:t>
      </w:r>
    </w:p>
    <w:p w14:paraId="300F5948">
      <w:pPr>
        <w:pStyle w:val="3"/>
        <w:spacing w:line="384"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6.完成合理业务需求的系统对接工作，包括但不限于与医院现有业务系统，如：HIS、CIS、EMR、LIS、PACS、手麻、微信公众号、互联网医院等系统并承担对接费用。</w:t>
      </w:r>
    </w:p>
    <w:p w14:paraId="07F4BDB2">
      <w:pPr>
        <w:pStyle w:val="3"/>
        <w:spacing w:line="384" w:lineRule="auto"/>
        <w:ind w:firstLine="482" w:firstLineChars="200"/>
        <w:rPr>
          <w:rFonts w:hint="eastAsia" w:ascii="仿宋" w:hAnsi="仿宋" w:eastAsia="仿宋"/>
          <w:color w:val="auto"/>
          <w:sz w:val="24"/>
          <w:szCs w:val="24"/>
          <w:highlight w:val="none"/>
          <w:lang w:val="en-US" w:eastAsia="zh-CN"/>
        </w:rPr>
      </w:pPr>
      <w:r>
        <w:rPr>
          <w:rFonts w:hint="eastAsia" w:ascii="仿宋" w:hAnsi="仿宋" w:eastAsia="仿宋"/>
          <w:b/>
          <w:bCs/>
          <w:color w:val="auto"/>
          <w:sz w:val="24"/>
          <w:szCs w:val="24"/>
          <w:highlight w:val="none"/>
          <w:lang w:val="en-US" w:eastAsia="zh-CN"/>
        </w:rPr>
        <w:t>六、售后服务及质量保证</w:t>
      </w:r>
    </w:p>
    <w:p w14:paraId="164EB6A6">
      <w:pPr>
        <w:pStyle w:val="3"/>
        <w:spacing w:line="384"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1、乙方需保证系统运行正常。</w:t>
      </w:r>
    </w:p>
    <w:p w14:paraId="6EBD201D">
      <w:pPr>
        <w:pStyle w:val="3"/>
        <w:spacing w:line="384"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 xml:space="preserve">2、质保期内，在不改变软件整体架构前提下，应满足所提供软件的功能模块个性化需求；应提供系统扩充、升级方面的技术支持服务，提供个性化需求。 </w:t>
      </w:r>
    </w:p>
    <w:p w14:paraId="62EA8D54">
      <w:pPr>
        <w:pStyle w:val="3"/>
        <w:spacing w:line="384"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3、提供7*24小时的维护和故障解决, 在实施阶段必须保障1人以上驻场服务，维护期内每季度不少于3次巡检。</w:t>
      </w:r>
    </w:p>
    <w:p w14:paraId="276880C0">
      <w:pPr>
        <w:pStyle w:val="3"/>
        <w:spacing w:line="384"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4、在使用过程中若产品发生质量问题或故障，在接到采购人通知后立即响应，2个小时到达故障现场处理，一般故障处理时限不超过6小时。重大故障处理时限不超过12小时，若24小时内不能修复，必须提供应急必选使用方案。提供7*24小时系统故障电话响应，远程处理，免费维护的技术服务。</w:t>
      </w:r>
    </w:p>
    <w:p w14:paraId="21F9EA6B">
      <w:pPr>
        <w:pStyle w:val="3"/>
        <w:spacing w:line="384" w:lineRule="auto"/>
        <w:ind w:firstLine="480" w:firstLineChars="200"/>
        <w:rPr>
          <w:rFonts w:hint="eastAsia"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5、系统运行稳定，业务连续性运行时长大于95%，符合医院业务流程，能保证医院业务开展。</w:t>
      </w:r>
    </w:p>
    <w:p w14:paraId="05C2927B">
      <w:pPr>
        <w:pStyle w:val="3"/>
        <w:spacing w:line="384" w:lineRule="auto"/>
        <w:ind w:firstLine="482" w:firstLineChars="200"/>
        <w:rPr>
          <w:rFonts w:hint="eastAsia" w:ascii="仿宋" w:hAnsi="仿宋" w:eastAsia="仿宋"/>
          <w:color w:val="auto"/>
          <w:sz w:val="24"/>
          <w:szCs w:val="24"/>
          <w:highlight w:val="none"/>
          <w:lang w:val="en-US" w:eastAsia="zh-CN"/>
        </w:rPr>
      </w:pPr>
      <w:r>
        <w:rPr>
          <w:rFonts w:hint="eastAsia" w:ascii="仿宋" w:hAnsi="仿宋" w:eastAsia="仿宋"/>
          <w:b/>
          <w:bCs/>
          <w:color w:val="auto"/>
          <w:sz w:val="24"/>
          <w:szCs w:val="24"/>
          <w:highlight w:val="none"/>
          <w:lang w:val="en-US" w:eastAsia="zh-CN"/>
        </w:rPr>
        <w:t>七、验收要求及条件</w:t>
      </w:r>
    </w:p>
    <w:p w14:paraId="13C67A48">
      <w:pPr>
        <w:pStyle w:val="3"/>
        <w:spacing w:line="384" w:lineRule="auto"/>
        <w:ind w:firstLine="480" w:firstLineChars="200"/>
        <w:rPr>
          <w:rFonts w:hint="default"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1、</w:t>
      </w:r>
      <w:r>
        <w:rPr>
          <w:rFonts w:hint="default" w:ascii="仿宋" w:hAnsi="仿宋" w:eastAsia="仿宋"/>
          <w:color w:val="auto"/>
          <w:sz w:val="24"/>
          <w:szCs w:val="24"/>
          <w:highlight w:val="none"/>
          <w:lang w:val="en-US" w:eastAsia="zh-CN"/>
        </w:rPr>
        <w:t>项目完成后，试运行满90日且无重大问题，由中标方向采购人提出验收申请，采购人负责组织项目验收；</w:t>
      </w:r>
    </w:p>
    <w:p w14:paraId="040B4CB4">
      <w:pPr>
        <w:pStyle w:val="3"/>
        <w:spacing w:line="384" w:lineRule="auto"/>
        <w:ind w:firstLine="480" w:firstLineChars="200"/>
        <w:rPr>
          <w:rFonts w:hint="default"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2、</w:t>
      </w:r>
      <w:r>
        <w:rPr>
          <w:rFonts w:hint="default" w:ascii="仿宋" w:hAnsi="仿宋" w:eastAsia="仿宋"/>
          <w:color w:val="auto"/>
          <w:sz w:val="24"/>
          <w:szCs w:val="24"/>
          <w:highlight w:val="none"/>
          <w:lang w:val="en-US" w:eastAsia="zh-CN"/>
        </w:rPr>
        <w:t>验收组织：由采购人负责组织自行验收。</w:t>
      </w:r>
    </w:p>
    <w:p w14:paraId="284AEBA0">
      <w:pPr>
        <w:pStyle w:val="3"/>
        <w:spacing w:line="384" w:lineRule="auto"/>
        <w:ind w:firstLine="480" w:firstLineChars="200"/>
        <w:rPr>
          <w:rFonts w:hint="default"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3、</w:t>
      </w:r>
      <w:r>
        <w:rPr>
          <w:rFonts w:hint="default" w:ascii="仿宋" w:hAnsi="仿宋" w:eastAsia="仿宋"/>
          <w:color w:val="auto"/>
          <w:sz w:val="24"/>
          <w:szCs w:val="24"/>
          <w:highlight w:val="none"/>
          <w:lang w:val="en-US" w:eastAsia="zh-CN"/>
        </w:rPr>
        <w:t>验收标准：依据</w:t>
      </w:r>
      <w:r>
        <w:rPr>
          <w:rFonts w:hint="eastAsia" w:ascii="仿宋" w:hAnsi="仿宋" w:eastAsia="仿宋"/>
          <w:color w:val="auto"/>
          <w:sz w:val="24"/>
          <w:szCs w:val="24"/>
          <w:highlight w:val="none"/>
          <w:lang w:val="en-US" w:eastAsia="zh-CN"/>
        </w:rPr>
        <w:t>磋商</w:t>
      </w:r>
      <w:r>
        <w:rPr>
          <w:rFonts w:hint="default" w:ascii="仿宋" w:hAnsi="仿宋" w:eastAsia="仿宋"/>
          <w:color w:val="auto"/>
          <w:sz w:val="24"/>
          <w:szCs w:val="24"/>
          <w:highlight w:val="none"/>
          <w:lang w:val="en-US" w:eastAsia="zh-CN"/>
        </w:rPr>
        <w:t>文件、</w:t>
      </w:r>
      <w:bookmarkStart w:id="3" w:name="_GoBack"/>
      <w:bookmarkEnd w:id="3"/>
      <w:r>
        <w:rPr>
          <w:rFonts w:hint="eastAsia" w:ascii="仿宋" w:hAnsi="仿宋" w:eastAsia="仿宋"/>
          <w:color w:val="auto"/>
          <w:sz w:val="24"/>
          <w:szCs w:val="24"/>
          <w:highlight w:val="none"/>
          <w:lang w:val="en-US" w:eastAsia="zh-CN"/>
        </w:rPr>
        <w:t>响应</w:t>
      </w:r>
      <w:r>
        <w:rPr>
          <w:rFonts w:hint="default" w:ascii="仿宋" w:hAnsi="仿宋" w:eastAsia="仿宋"/>
          <w:color w:val="auto"/>
          <w:sz w:val="24"/>
          <w:szCs w:val="24"/>
          <w:highlight w:val="none"/>
          <w:lang w:val="en-US" w:eastAsia="zh-CN"/>
        </w:rPr>
        <w:t>文件、澄清表、合同条款、功能参数等其他要求及国家强制性规定。</w:t>
      </w:r>
    </w:p>
    <w:p w14:paraId="390F935D">
      <w:pPr>
        <w:pStyle w:val="3"/>
        <w:spacing w:line="384" w:lineRule="auto"/>
        <w:ind w:firstLine="480" w:firstLineChars="200"/>
        <w:rPr>
          <w:rFonts w:hint="default"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4、</w:t>
      </w:r>
      <w:r>
        <w:rPr>
          <w:rFonts w:hint="default" w:ascii="仿宋" w:hAnsi="仿宋" w:eastAsia="仿宋"/>
          <w:color w:val="auto"/>
          <w:sz w:val="24"/>
          <w:szCs w:val="24"/>
          <w:highlight w:val="none"/>
          <w:lang w:val="en-US" w:eastAsia="zh-CN"/>
        </w:rPr>
        <w:t>验收条件：</w:t>
      </w:r>
    </w:p>
    <w:p w14:paraId="549069F2">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(1)整理本次项目相关文档；</w:t>
      </w:r>
    </w:p>
    <w:p w14:paraId="38E26B04">
      <w:pPr>
        <w:pStyle w:val="3"/>
        <w:spacing w:line="384" w:lineRule="auto"/>
        <w:ind w:firstLine="480" w:firstLineChars="200"/>
        <w:rPr>
          <w:rFonts w:hint="default" w:ascii="仿宋" w:hAnsi="仿宋" w:eastAsia="仿宋"/>
          <w:color w:val="auto"/>
          <w:sz w:val="24"/>
          <w:szCs w:val="24"/>
          <w:highlight w:val="none"/>
          <w:lang w:val="en-US" w:eastAsia="zh-CN"/>
        </w:rPr>
      </w:pPr>
      <w:r>
        <w:rPr>
          <w:rFonts w:hint="eastAsia" w:ascii="仿宋" w:hAnsi="仿宋" w:eastAsia="仿宋"/>
          <w:color w:val="auto"/>
          <w:sz w:val="24"/>
          <w:szCs w:val="24"/>
          <w:highlight w:val="none"/>
          <w:lang w:val="en-US" w:eastAsia="zh-CN"/>
        </w:rPr>
        <w:t>4.1、</w:t>
      </w:r>
      <w:r>
        <w:rPr>
          <w:rFonts w:hint="default" w:ascii="仿宋" w:hAnsi="仿宋" w:eastAsia="仿宋"/>
          <w:color w:val="auto"/>
          <w:sz w:val="24"/>
          <w:szCs w:val="24"/>
          <w:highlight w:val="none"/>
          <w:lang w:val="en-US" w:eastAsia="zh-CN"/>
        </w:rPr>
        <w:t>向采购方提供的技术文档包括但不限于以下内容</w:t>
      </w:r>
    </w:p>
    <w:p w14:paraId="5288FD0A">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(1)技术文档（包含但不限于以下内容）</w:t>
      </w:r>
    </w:p>
    <w:p w14:paraId="189A15CE">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(2)用户调查与需求分析报告</w:t>
      </w:r>
    </w:p>
    <w:p w14:paraId="055E6274">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(3)系统概要设计方案</w:t>
      </w:r>
    </w:p>
    <w:p w14:paraId="53519EC7">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(4)项目实施计划</w:t>
      </w:r>
    </w:p>
    <w:p w14:paraId="3373FE94">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(5)项目实施过程文档</w:t>
      </w:r>
    </w:p>
    <w:p w14:paraId="54DAE190">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(6)功能规格说明书</w:t>
      </w:r>
    </w:p>
    <w:p w14:paraId="19CB8AEA">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(7)系统详细设计说明书</w:t>
      </w:r>
    </w:p>
    <w:p w14:paraId="2796A949">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(8)系统模块设计说明书</w:t>
      </w:r>
    </w:p>
    <w:p w14:paraId="69887468">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(9)数据库设计说明</w:t>
      </w:r>
    </w:p>
    <w:p w14:paraId="4B7614AB">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(10)系统维护手册</w:t>
      </w:r>
    </w:p>
    <w:p w14:paraId="2D33D9EF">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(11)用户操作手册</w:t>
      </w:r>
    </w:p>
    <w:p w14:paraId="5F5E6DCC">
      <w:pPr>
        <w:pStyle w:val="3"/>
        <w:spacing w:line="384" w:lineRule="auto"/>
        <w:ind w:firstLine="480" w:firstLineChars="200"/>
        <w:rPr>
          <w:rFonts w:hint="default" w:ascii="仿宋" w:hAnsi="仿宋" w:eastAsia="仿宋"/>
          <w:color w:val="auto"/>
          <w:sz w:val="24"/>
          <w:szCs w:val="24"/>
          <w:highlight w:val="none"/>
          <w:lang w:val="en-US" w:eastAsia="zh-CN"/>
        </w:rPr>
      </w:pPr>
      <w:r>
        <w:rPr>
          <w:rFonts w:hint="default" w:ascii="仿宋" w:hAnsi="仿宋" w:eastAsia="仿宋"/>
          <w:color w:val="auto"/>
          <w:sz w:val="24"/>
          <w:szCs w:val="24"/>
          <w:highlight w:val="none"/>
          <w:lang w:val="en-US" w:eastAsia="zh-CN"/>
        </w:rPr>
        <w:t>(12)测试报告</w:t>
      </w:r>
    </w:p>
    <w:p w14:paraId="4EF8495F">
      <w:pPr>
        <w:pStyle w:val="3"/>
        <w:spacing w:line="384" w:lineRule="auto"/>
        <w:ind w:firstLine="482" w:firstLineChars="200"/>
        <w:rPr>
          <w:rFonts w:hint="eastAsia" w:ascii="仿宋" w:hAnsi="仿宋" w:eastAsia="仿宋"/>
          <w:b/>
          <w:bCs/>
          <w:color w:val="auto"/>
          <w:sz w:val="24"/>
          <w:szCs w:val="24"/>
          <w:highlight w:val="none"/>
          <w:lang w:val="en-US" w:eastAsia="zh-CN"/>
        </w:rPr>
      </w:pPr>
      <w:r>
        <w:rPr>
          <w:rFonts w:hint="eastAsia" w:ascii="仿宋" w:hAnsi="仿宋" w:eastAsia="仿宋"/>
          <w:b/>
          <w:bCs/>
          <w:color w:val="auto"/>
          <w:sz w:val="24"/>
          <w:szCs w:val="24"/>
          <w:highlight w:val="none"/>
          <w:lang w:val="en-US" w:eastAsia="zh-CN"/>
        </w:rPr>
        <w:t>八、培训要求</w:t>
      </w:r>
    </w:p>
    <w:p w14:paraId="0A619561">
      <w:pPr>
        <w:pStyle w:val="3"/>
        <w:spacing w:line="384" w:lineRule="auto"/>
        <w:ind w:firstLine="480" w:firstLineChars="200"/>
        <w:rPr>
          <w:rFonts w:hint="default" w:ascii="仿宋" w:hAnsi="仿宋" w:eastAsia="仿宋"/>
          <w:b/>
          <w:bCs/>
          <w:color w:val="auto"/>
          <w:sz w:val="24"/>
          <w:szCs w:val="24"/>
          <w:highlight w:val="none"/>
          <w:lang w:val="en-US" w:eastAsia="zh-CN"/>
        </w:rPr>
      </w:pPr>
      <w:r>
        <w:rPr>
          <w:rFonts w:hint="eastAsia" w:ascii="仿宋" w:hAnsi="仿宋" w:eastAsia="仿宋"/>
          <w:b w:val="0"/>
          <w:bCs w:val="0"/>
          <w:color w:val="auto"/>
          <w:sz w:val="24"/>
          <w:szCs w:val="24"/>
          <w:highlight w:val="none"/>
          <w:lang w:val="en-US" w:eastAsia="zh-CN"/>
        </w:rPr>
        <w:t>乙方</w:t>
      </w:r>
      <w:r>
        <w:rPr>
          <w:rFonts w:hint="default" w:ascii="仿宋" w:hAnsi="仿宋" w:eastAsia="仿宋"/>
          <w:b w:val="0"/>
          <w:bCs w:val="0"/>
          <w:color w:val="auto"/>
          <w:sz w:val="24"/>
          <w:szCs w:val="24"/>
          <w:highlight w:val="none"/>
          <w:lang w:val="en-US" w:eastAsia="zh-CN"/>
        </w:rPr>
        <w:t>须提供包括系统软件、应用软件、安装调试等内容的培训。培训应面对不同层面的系统用户，保证用户能独立地管理、维护和配置系统，以便整个系统能够正常、安全运行</w:t>
      </w:r>
      <w:r>
        <w:rPr>
          <w:rFonts w:hint="eastAsia" w:ascii="仿宋" w:hAnsi="仿宋" w:eastAsia="仿宋"/>
          <w:b w:val="0"/>
          <w:bCs w:val="0"/>
          <w:color w:val="auto"/>
          <w:sz w:val="24"/>
          <w:szCs w:val="24"/>
          <w:highlight w:val="none"/>
          <w:lang w:val="en-US" w:eastAsia="zh-CN"/>
        </w:rPr>
        <w:t>。</w:t>
      </w:r>
    </w:p>
    <w:p w14:paraId="2E5004B6">
      <w:pPr>
        <w:pStyle w:val="6"/>
        <w:spacing w:line="360" w:lineRule="auto"/>
        <w:ind w:left="0" w:leftChars="0" w:firstLine="482" w:firstLineChars="200"/>
        <w:rPr>
          <w:rFonts w:hint="eastAsia" w:ascii="仿宋" w:hAnsi="仿宋" w:eastAsia="仿宋" w:cs="仿宋"/>
          <w:b/>
          <w:color w:val="auto"/>
          <w:sz w:val="24"/>
          <w:szCs w:val="24"/>
          <w:highlight w:val="none"/>
        </w:rPr>
      </w:pPr>
      <w:r>
        <w:rPr>
          <w:rFonts w:hint="eastAsia" w:ascii="仿宋_GB2312" w:hAnsi="仿宋_GB2312" w:eastAsia="仿宋_GB2312" w:cs="仿宋_GB2312"/>
          <w:b/>
          <w:bCs/>
          <w:color w:val="auto"/>
          <w:sz w:val="24"/>
          <w:highlight w:val="none"/>
          <w:lang w:eastAsia="zh-CN"/>
        </w:rPr>
        <w:t>九</w:t>
      </w:r>
      <w:r>
        <w:rPr>
          <w:rFonts w:hint="eastAsia" w:ascii="仿宋_GB2312" w:hAnsi="仿宋_GB2312" w:eastAsia="仿宋_GB2312" w:cs="仿宋_GB2312"/>
          <w:b/>
          <w:bCs/>
          <w:color w:val="auto"/>
          <w:sz w:val="24"/>
          <w:highlight w:val="none"/>
        </w:rPr>
        <w:t>、</w:t>
      </w:r>
      <w:r>
        <w:rPr>
          <w:rFonts w:hint="eastAsia" w:ascii="仿宋" w:hAnsi="仿宋" w:eastAsia="仿宋" w:cs="仿宋"/>
          <w:b/>
          <w:color w:val="auto"/>
          <w:sz w:val="24"/>
          <w:szCs w:val="24"/>
          <w:highlight w:val="none"/>
        </w:rPr>
        <w:t>合同的变更、终止及违约责任</w:t>
      </w:r>
    </w:p>
    <w:p w14:paraId="4ED198FA">
      <w:pPr>
        <w:pStyle w:val="6"/>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1、甲乙双方在有效期内，可以协商变更和补充相关内容，但应以书面形式双方确认。</w:t>
      </w:r>
    </w:p>
    <w:p w14:paraId="59E68702">
      <w:pPr>
        <w:pStyle w:val="6"/>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2、甲乙双方的任何一方若终止本合同，应提前30天以书面形式通知对方，经对方书面同意并结清相关款项后才能终止。</w:t>
      </w:r>
    </w:p>
    <w:p w14:paraId="67C484F8">
      <w:pPr>
        <w:pStyle w:val="6"/>
        <w:spacing w:line="360" w:lineRule="auto"/>
        <w:ind w:left="0" w:leftChars="0"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十</w:t>
      </w:r>
      <w:r>
        <w:rPr>
          <w:rFonts w:hint="eastAsia" w:ascii="仿宋" w:hAnsi="仿宋" w:eastAsia="仿宋" w:cs="仿宋"/>
          <w:b/>
          <w:bCs/>
          <w:color w:val="auto"/>
          <w:sz w:val="24"/>
          <w:szCs w:val="24"/>
          <w:highlight w:val="none"/>
        </w:rPr>
        <w:t>、保密协议</w:t>
      </w:r>
    </w:p>
    <w:p w14:paraId="792E0A83">
      <w:pPr>
        <w:pStyle w:val="6"/>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乙方违反保密条款规定，有下列行为之一的，甲方有权对因此造成的损失要求赔偿；构成犯罪的，依法追究其刑事责任：</w:t>
      </w:r>
    </w:p>
    <w:p w14:paraId="76563D6C">
      <w:pPr>
        <w:pStyle w:val="6"/>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（1）擅自向第三方提供或者转让甲方提供的资料。</w:t>
      </w:r>
    </w:p>
    <w:p w14:paraId="657F3F8F">
      <w:pPr>
        <w:pStyle w:val="6"/>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（2）对获得的资料保管不当造成丢失、被窃。</w:t>
      </w:r>
    </w:p>
    <w:p w14:paraId="5DB63D5E">
      <w:pPr>
        <w:spacing w:line="360" w:lineRule="auto"/>
        <w:ind w:firstLine="482" w:firstLineChars="200"/>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十一</w:t>
      </w:r>
      <w:r>
        <w:rPr>
          <w:rFonts w:hint="eastAsia" w:ascii="仿宋" w:hAnsi="仿宋" w:eastAsia="仿宋" w:cs="仿宋"/>
          <w:b/>
          <w:bCs/>
          <w:color w:val="auto"/>
          <w:sz w:val="24"/>
          <w:szCs w:val="24"/>
          <w:highlight w:val="none"/>
        </w:rPr>
        <w:t>、纠纷的解决</w:t>
      </w:r>
    </w:p>
    <w:p w14:paraId="335D38FC">
      <w:pPr>
        <w:pStyle w:val="5"/>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本协议履行过程中出现的争议，由双方友好协商解决，协商不能，双方同意向甲方所在地人民法院提起诉讼。</w:t>
      </w:r>
    </w:p>
    <w:p w14:paraId="1A5FDC5D">
      <w:pPr>
        <w:spacing w:line="360" w:lineRule="auto"/>
        <w:ind w:firstLine="482" w:firstLineChars="200"/>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十二</w:t>
      </w:r>
      <w:r>
        <w:rPr>
          <w:rFonts w:hint="eastAsia" w:ascii="仿宋" w:hAnsi="仿宋" w:eastAsia="仿宋" w:cs="仿宋"/>
          <w:b/>
          <w:bCs/>
          <w:color w:val="auto"/>
          <w:sz w:val="24"/>
          <w:szCs w:val="24"/>
          <w:highlight w:val="none"/>
        </w:rPr>
        <w:t>、协议的效力</w:t>
      </w:r>
    </w:p>
    <w:p w14:paraId="6A9593D4">
      <w:pPr>
        <w:spacing w:line="360" w:lineRule="auto"/>
        <w:ind w:firstLine="496" w:firstLineChars="200"/>
        <w:jc w:val="left"/>
        <w:rPr>
          <w:rFonts w:hint="eastAsia" w:ascii="仿宋" w:hAnsi="仿宋" w:eastAsia="仿宋" w:cs="仿宋"/>
          <w:color w:val="auto"/>
          <w:sz w:val="24"/>
          <w:szCs w:val="24"/>
          <w:highlight w:val="none"/>
        </w:rPr>
      </w:pPr>
      <w:r>
        <w:rPr>
          <w:rFonts w:hint="eastAsia" w:ascii="仿宋" w:hAnsi="仿宋" w:eastAsia="仿宋" w:cs="仿宋"/>
          <w:bCs/>
          <w:snapToGrid w:val="0"/>
          <w:color w:val="auto"/>
          <w:spacing w:val="4"/>
          <w:kern w:val="0"/>
          <w:sz w:val="24"/>
          <w:szCs w:val="24"/>
          <w:highlight w:val="none"/>
        </w:rPr>
        <w:t>本合同一式伍份，甲方执肆份，乙方壹份，自双方签字并加盖公章或合同专用章后生效。</w:t>
      </w:r>
    </w:p>
    <w:p w14:paraId="07552720">
      <w:pPr>
        <w:spacing w:line="360" w:lineRule="auto"/>
        <w:ind w:firstLine="482" w:firstLineChars="200"/>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十三</w:t>
      </w:r>
      <w:r>
        <w:rPr>
          <w:rFonts w:hint="eastAsia" w:ascii="仿宋" w:hAnsi="仿宋" w:eastAsia="仿宋" w:cs="仿宋"/>
          <w:b/>
          <w:bCs/>
          <w:color w:val="auto"/>
          <w:sz w:val="24"/>
          <w:szCs w:val="24"/>
          <w:highlight w:val="none"/>
        </w:rPr>
        <w:t>、其他</w:t>
      </w:r>
    </w:p>
    <w:p w14:paraId="68CABACF">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1、本合同有效期内，任一方的名称、地址、指定的联系人、联系方式等发生变更的，应及时书面通知另一方，否则，另一方按变更前的方式送达的，视为有效送达，未履行通知义务一方承担不利后果。</w:t>
      </w:r>
    </w:p>
    <w:p w14:paraId="446D7C47">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2、甲方同意乙方等研究机构因科研项目、发表论文、数据分析等需要，将受检者信息去标识化后，使用本合同所产生的检测信息、数据及相关剩余样本（如有）。</w:t>
      </w:r>
    </w:p>
    <w:p w14:paraId="01EEBB54">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3、未经另一方书面同意，任何一方不得变更或修改本合同；经双方协商达成一致的，签订的书面变更协议或补充协议与本合同具有同等效力。</w:t>
      </w:r>
    </w:p>
    <w:p w14:paraId="3E953F36">
      <w:pPr>
        <w:shd w:val="clear" w:color="auto" w:fill="FFFFFF"/>
        <w:snapToGrid w:val="0"/>
        <w:rPr>
          <w:rFonts w:hint="eastAsia" w:ascii="仿宋_GB2312" w:hAnsi="仿宋_GB2312" w:eastAsia="仿宋_GB2312" w:cs="仿宋_GB2312"/>
          <w:color w:val="auto"/>
          <w:kern w:val="28"/>
          <w:sz w:val="24"/>
          <w:highlight w:val="none"/>
        </w:rPr>
      </w:pPr>
    </w:p>
    <w:p w14:paraId="7EA6CF36">
      <w:pPr>
        <w:rPr>
          <w:color w:val="auto"/>
          <w:highlight w:val="none"/>
        </w:rPr>
      </w:pPr>
    </w:p>
    <w:p w14:paraId="60683E3B">
      <w:pPr>
        <w:shd w:val="clear" w:color="auto" w:fill="FFFFFF"/>
        <w:snapToGrid w:val="0"/>
        <w:spacing w:line="360" w:lineRule="auto"/>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（以下无正文）</w:t>
      </w:r>
    </w:p>
    <w:p w14:paraId="1A2841C4">
      <w:pPr>
        <w:spacing w:line="360" w:lineRule="auto"/>
        <w:ind w:firstLine="480" w:firstLineChars="200"/>
        <w:jc w:val="left"/>
        <w:rPr>
          <w:rFonts w:hint="eastAsia" w:ascii="仿宋" w:hAnsi="仿宋" w:eastAsia="仿宋" w:cs="仿宋"/>
          <w:color w:val="auto"/>
          <w:sz w:val="24"/>
          <w:szCs w:val="24"/>
          <w:highlight w:val="none"/>
        </w:rPr>
      </w:pPr>
    </w:p>
    <w:tbl>
      <w:tblPr>
        <w:tblStyle w:val="8"/>
        <w:tblpPr w:leftFromText="180" w:rightFromText="180" w:vertAnchor="text" w:horzAnchor="page" w:tblpX="1566" w:tblpY="276"/>
        <w:tblOverlap w:val="never"/>
        <w:tblW w:w="8999" w:type="dxa"/>
        <w:tblInd w:w="0" w:type="dxa"/>
        <w:tblLayout w:type="fixed"/>
        <w:tblCellMar>
          <w:top w:w="0" w:type="dxa"/>
          <w:left w:w="0" w:type="dxa"/>
          <w:bottom w:w="0" w:type="dxa"/>
          <w:right w:w="0" w:type="dxa"/>
        </w:tblCellMar>
      </w:tblPr>
      <w:tblGrid>
        <w:gridCol w:w="4208"/>
        <w:gridCol w:w="4791"/>
      </w:tblGrid>
      <w:tr w14:paraId="35E5004D">
        <w:tblPrEx>
          <w:tblCellMar>
            <w:top w:w="0" w:type="dxa"/>
            <w:left w:w="0" w:type="dxa"/>
            <w:bottom w:w="0" w:type="dxa"/>
            <w:right w:w="0" w:type="dxa"/>
          </w:tblCellMar>
        </w:tblPrEx>
        <w:trPr>
          <w:trHeight w:val="6013" w:hRule="atLeast"/>
        </w:trPr>
        <w:tc>
          <w:tcPr>
            <w:tcW w:w="4208" w:type="dxa"/>
            <w:tcMar>
              <w:top w:w="0" w:type="dxa"/>
              <w:left w:w="108" w:type="dxa"/>
              <w:bottom w:w="0" w:type="dxa"/>
              <w:right w:w="108" w:type="dxa"/>
            </w:tcMar>
          </w:tcPr>
          <w:p w14:paraId="1380DA88">
            <w:pPr>
              <w:rPr>
                <w:rFonts w:hint="eastAsia" w:ascii="仿宋" w:hAnsi="仿宋" w:eastAsia="仿宋" w:cs="仿宋"/>
                <w:color w:val="auto"/>
                <w:sz w:val="24"/>
                <w:szCs w:val="24"/>
                <w:highlight w:val="none"/>
              </w:rPr>
            </w:pPr>
          </w:p>
          <w:p w14:paraId="156FB80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甲方：西安市胸科医院</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（公章）</w:t>
            </w:r>
          </w:p>
          <w:p w14:paraId="79F28986">
            <w:pPr>
              <w:rPr>
                <w:rFonts w:hint="eastAsia" w:ascii="仿宋" w:hAnsi="仿宋" w:eastAsia="仿宋" w:cs="仿宋"/>
                <w:color w:val="auto"/>
                <w:sz w:val="24"/>
                <w:szCs w:val="24"/>
                <w:highlight w:val="none"/>
              </w:rPr>
            </w:pPr>
          </w:p>
          <w:p w14:paraId="3FBDB209">
            <w:pPr>
              <w:rPr>
                <w:rFonts w:hint="eastAsia" w:ascii="仿宋" w:hAnsi="仿宋" w:eastAsia="仿宋" w:cs="仿宋"/>
                <w:color w:val="auto"/>
                <w:sz w:val="24"/>
                <w:szCs w:val="24"/>
                <w:highlight w:val="none"/>
              </w:rPr>
            </w:pPr>
          </w:p>
          <w:p w14:paraId="6892DC5A">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宋体"/>
                <w:color w:val="auto"/>
                <w:sz w:val="24"/>
                <w:szCs w:val="24"/>
                <w:highlight w:val="none"/>
              </w:rPr>
              <w:t>西安市长安区航天大道东段杜陵西路2000号</w:t>
            </w:r>
          </w:p>
          <w:p w14:paraId="651C6081">
            <w:pPr>
              <w:rPr>
                <w:rFonts w:hint="eastAsia" w:ascii="仿宋" w:hAnsi="仿宋" w:eastAsia="仿宋" w:cs="仿宋"/>
                <w:color w:val="auto"/>
                <w:sz w:val="24"/>
                <w:szCs w:val="24"/>
                <w:highlight w:val="none"/>
              </w:rPr>
            </w:pPr>
          </w:p>
          <w:p w14:paraId="568A567C">
            <w:pPr>
              <w:rPr>
                <w:rFonts w:hint="eastAsia" w:ascii="仿宋" w:hAnsi="仿宋" w:eastAsia="仿宋" w:cs="仿宋"/>
                <w:color w:val="auto"/>
                <w:sz w:val="24"/>
                <w:szCs w:val="24"/>
                <w:highlight w:val="none"/>
              </w:rPr>
            </w:pPr>
          </w:p>
          <w:p w14:paraId="0CAF1FB7">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法定代表人：（签字）             </w:t>
            </w:r>
          </w:p>
          <w:p w14:paraId="356063B5">
            <w:pPr>
              <w:rPr>
                <w:rFonts w:hint="eastAsia" w:ascii="仿宋" w:hAnsi="仿宋" w:eastAsia="仿宋" w:cs="仿宋"/>
                <w:color w:val="auto"/>
                <w:sz w:val="24"/>
                <w:szCs w:val="24"/>
                <w:highlight w:val="none"/>
              </w:rPr>
            </w:pPr>
          </w:p>
          <w:p w14:paraId="4DDDE162">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代理人：（签字）</w:t>
            </w:r>
          </w:p>
          <w:p w14:paraId="541C4325">
            <w:pPr>
              <w:rPr>
                <w:rFonts w:hint="eastAsia" w:ascii="仿宋" w:hAnsi="仿宋" w:eastAsia="仿宋" w:cs="仿宋"/>
                <w:color w:val="auto"/>
                <w:sz w:val="24"/>
                <w:szCs w:val="24"/>
                <w:highlight w:val="none"/>
              </w:rPr>
            </w:pPr>
          </w:p>
          <w:p w14:paraId="5B48B469">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项目主管部门负责人：（签字）</w:t>
            </w:r>
          </w:p>
          <w:p w14:paraId="0F3E1569">
            <w:pPr>
              <w:rPr>
                <w:rFonts w:hint="eastAsia" w:ascii="仿宋" w:hAnsi="仿宋" w:eastAsia="仿宋" w:cs="仿宋"/>
                <w:color w:val="auto"/>
                <w:sz w:val="24"/>
                <w:szCs w:val="24"/>
                <w:highlight w:val="none"/>
              </w:rPr>
            </w:pPr>
          </w:p>
          <w:p w14:paraId="5BC81AE2">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招采办负责人：（签字）</w:t>
            </w:r>
          </w:p>
          <w:p w14:paraId="26BC43B8">
            <w:pPr>
              <w:rPr>
                <w:rFonts w:hint="eastAsia" w:ascii="仿宋" w:hAnsi="仿宋" w:eastAsia="仿宋" w:cs="仿宋"/>
                <w:color w:val="auto"/>
                <w:sz w:val="24"/>
                <w:szCs w:val="24"/>
                <w:highlight w:val="none"/>
              </w:rPr>
            </w:pPr>
          </w:p>
          <w:p w14:paraId="1F7EA7BD">
            <w:pPr>
              <w:rPr>
                <w:color w:val="auto"/>
                <w:sz w:val="24"/>
                <w:szCs w:val="24"/>
                <w:highlight w:val="none"/>
              </w:rPr>
            </w:pPr>
            <w:r>
              <w:rPr>
                <w:rFonts w:hint="eastAsia" w:ascii="仿宋" w:hAnsi="仿宋" w:eastAsia="仿宋" w:cs="仿宋"/>
                <w:color w:val="auto"/>
                <w:sz w:val="24"/>
                <w:szCs w:val="24"/>
                <w:highlight w:val="none"/>
              </w:rPr>
              <w:t>联系电话：029-62500115</w:t>
            </w:r>
          </w:p>
          <w:p w14:paraId="58F5B27C">
            <w:pPr>
              <w:rPr>
                <w:rFonts w:hint="eastAsia" w:ascii="仿宋" w:hAnsi="仿宋" w:eastAsia="仿宋" w:cs="仿宋"/>
                <w:color w:val="auto"/>
                <w:sz w:val="24"/>
                <w:szCs w:val="24"/>
                <w:highlight w:val="none"/>
              </w:rPr>
            </w:pPr>
          </w:p>
          <w:p w14:paraId="5CE727F5">
            <w:pPr>
              <w:rPr>
                <w:rFonts w:hint="eastAsia" w:ascii="仿宋" w:hAnsi="仿宋" w:eastAsia="仿宋" w:cs="仿宋"/>
                <w:color w:val="auto"/>
                <w:sz w:val="24"/>
                <w:szCs w:val="24"/>
                <w:highlight w:val="none"/>
              </w:rPr>
            </w:pPr>
          </w:p>
          <w:p w14:paraId="64CD1B0F">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签订日期：202  年  月   日</w:t>
            </w:r>
          </w:p>
        </w:tc>
        <w:tc>
          <w:tcPr>
            <w:tcW w:w="4791" w:type="dxa"/>
            <w:tcMar>
              <w:top w:w="0" w:type="dxa"/>
              <w:left w:w="108" w:type="dxa"/>
              <w:bottom w:w="0" w:type="dxa"/>
              <w:right w:w="108" w:type="dxa"/>
            </w:tcMar>
          </w:tcPr>
          <w:p w14:paraId="2B93EA63">
            <w:pPr>
              <w:spacing w:line="57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               （公章）</w:t>
            </w:r>
          </w:p>
          <w:p w14:paraId="6493ACEE">
            <w:pPr>
              <w:spacing w:line="570" w:lineRule="exact"/>
              <w:rPr>
                <w:rFonts w:hint="eastAsia" w:ascii="仿宋" w:hAnsi="仿宋" w:eastAsia="仿宋" w:cs="仿宋"/>
                <w:color w:val="auto"/>
                <w:sz w:val="24"/>
                <w:szCs w:val="24"/>
                <w:highlight w:val="none"/>
              </w:rPr>
            </w:pPr>
          </w:p>
          <w:p w14:paraId="105E25EB">
            <w:pPr>
              <w:spacing w:line="57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p w14:paraId="06E15ABA">
            <w:pPr>
              <w:spacing w:line="570" w:lineRule="exact"/>
              <w:rPr>
                <w:rFonts w:hint="eastAsia" w:ascii="仿宋" w:hAnsi="仿宋" w:eastAsia="仿宋" w:cs="仿宋"/>
                <w:color w:val="auto"/>
                <w:sz w:val="24"/>
                <w:szCs w:val="24"/>
                <w:highlight w:val="none"/>
              </w:rPr>
            </w:pPr>
          </w:p>
          <w:p w14:paraId="0E624772">
            <w:pPr>
              <w:spacing w:line="57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w:t>
            </w:r>
          </w:p>
          <w:p w14:paraId="6B5BAAE4">
            <w:pPr>
              <w:spacing w:line="57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经办人：（签字）</w:t>
            </w:r>
          </w:p>
          <w:p w14:paraId="36B7DBCC">
            <w:pPr>
              <w:spacing w:line="57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4677FB66">
            <w:pPr>
              <w:spacing w:line="57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开户银行： </w:t>
            </w:r>
          </w:p>
          <w:p w14:paraId="03F44D2D">
            <w:pPr>
              <w:spacing w:line="57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银行账号： </w:t>
            </w:r>
          </w:p>
          <w:p w14:paraId="4E417803">
            <w:pPr>
              <w:spacing w:line="570" w:lineRule="exact"/>
              <w:rPr>
                <w:rFonts w:hint="eastAsia" w:ascii="仿宋" w:hAnsi="仿宋" w:eastAsia="仿宋" w:cs="仿宋"/>
                <w:color w:val="auto"/>
                <w:sz w:val="24"/>
                <w:szCs w:val="24"/>
                <w:highlight w:val="none"/>
              </w:rPr>
            </w:pPr>
          </w:p>
          <w:p w14:paraId="40A5DB90">
            <w:pPr>
              <w:spacing w:line="57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签订日期：202  年  月   日</w:t>
            </w:r>
          </w:p>
        </w:tc>
      </w:tr>
    </w:tbl>
    <w:p w14:paraId="2D494D69">
      <w:pPr>
        <w:spacing w:line="360" w:lineRule="auto"/>
        <w:rPr>
          <w:rFonts w:hint="eastAsia" w:ascii="仿宋" w:hAnsi="仿宋" w:eastAsia="仿宋" w:cs="仿宋"/>
          <w:color w:val="auto"/>
          <w:sz w:val="24"/>
          <w:szCs w:val="24"/>
          <w:highlight w:val="none"/>
        </w:rPr>
      </w:pPr>
    </w:p>
    <w:p w14:paraId="702B7AE6">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kern w:val="0"/>
          <w:szCs w:val="21"/>
          <w:highlight w:val="none"/>
        </w:rPr>
        <w:t>注：上述合同仅作为参考文本，合同签订时双方可根据项目的具体要求进行修订，实质性内容不得违背磋商文件的条款。</w:t>
      </w:r>
    </w:p>
    <w:p w14:paraId="4702E0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73052D"/>
    <w:multiLevelType w:val="singleLevel"/>
    <w:tmpl w:val="AB73052D"/>
    <w:lvl w:ilvl="0" w:tentative="0">
      <w:start w:val="1"/>
      <w:numFmt w:val="low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B3684"/>
    <w:rsid w:val="19E60A0D"/>
    <w:rsid w:val="7D034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3"/>
    <w:basedOn w:val="1"/>
    <w:qFormat/>
    <w:uiPriority w:val="0"/>
    <w:pPr>
      <w:jc w:val="center"/>
    </w:pPr>
    <w:rPr>
      <w:b/>
      <w:spacing w:val="-20"/>
      <w:w w:val="110"/>
      <w:kern w:val="0"/>
      <w:sz w:val="52"/>
    </w:rPr>
  </w:style>
  <w:style w:type="paragraph" w:styleId="5">
    <w:name w:val="Body Text"/>
    <w:basedOn w:val="1"/>
    <w:next w:val="1"/>
    <w:qFormat/>
    <w:uiPriority w:val="0"/>
    <w:pPr>
      <w:spacing w:after="120"/>
    </w:pPr>
  </w:style>
  <w:style w:type="paragraph" w:styleId="6">
    <w:name w:val="Body Text Indent 2"/>
    <w:basedOn w:val="1"/>
    <w:qFormat/>
    <w:uiPriority w:val="0"/>
    <w:pPr>
      <w:spacing w:line="500" w:lineRule="exact"/>
      <w:ind w:left="420" w:leftChars="200"/>
      <w:jc w:val="left"/>
    </w:pPr>
  </w:style>
  <w:style w:type="paragraph" w:styleId="7">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2688</Words>
  <Characters>2783</Characters>
  <Lines>0</Lines>
  <Paragraphs>0</Paragraphs>
  <TotalTime>1</TotalTime>
  <ScaleCrop>false</ScaleCrop>
  <LinksUpToDate>false</LinksUpToDate>
  <CharactersWithSpaces>2941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2025-11-04T08:28:00Z</dcterms:created>
  <dc:creator>Administrator</dc:creator>
  <cp:lastModifiedBy>Administrator</cp:lastModifiedBy>
  <dcterms:modified xsi:type="dcterms:W3CDTF">2025-11-05T07:22:52Z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B89645BA969745BF832AB07620595962_12</vt:lpwstr>
  </property>
</Properties>
</file>