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highlight w:val="none"/>
        </w:rPr>
        <w:drawing>
          <wp:anchor distT="0" distB="0" distL="114300" distR="114300" simplePos="0" relativeHeight="251660288" behindDoc="1" locked="0" layoutInCell="1" allowOverlap="1">
            <wp:simplePos x="0" y="0"/>
            <wp:positionH relativeFrom="column">
              <wp:posOffset>3448050</wp:posOffset>
            </wp:positionH>
            <wp:positionV relativeFrom="paragraph">
              <wp:posOffset>186690</wp:posOffset>
            </wp:positionV>
            <wp:extent cx="1793875" cy="1052830"/>
            <wp:effectExtent l="0" t="0" r="15875" b="13970"/>
            <wp:wrapNone/>
            <wp:docPr id="4" name="图片 4" descr="logo（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logo（2022"/>
                    <pic:cNvPicPr>
                      <a:picLocks noChangeAspect="1"/>
                    </pic:cNvPicPr>
                  </pic:nvPicPr>
                  <pic:blipFill>
                    <a:blip r:embed="rId5"/>
                    <a:stretch>
                      <a:fillRect/>
                    </a:stretch>
                  </pic:blipFill>
                  <pic:spPr>
                    <a:xfrm>
                      <a:off x="0" y="0"/>
                      <a:ext cx="1793875" cy="1052830"/>
                    </a:xfrm>
                    <a:prstGeom prst="rect">
                      <a:avLst/>
                    </a:prstGeom>
                    <a:noFill/>
                    <a:ln>
                      <a:noFill/>
                    </a:ln>
                  </pic:spPr>
                </pic:pic>
              </a:graphicData>
            </a:graphic>
          </wp:anchor>
        </w:drawing>
      </w:r>
      <w:r>
        <w:rPr>
          <w:rFonts w:hint="eastAsia" w:ascii="宋体" w:hAnsi="宋体" w:eastAsia="宋体" w:cs="宋体"/>
          <w:sz w:val="24"/>
          <w:szCs w:val="24"/>
          <w:highlight w:val="none"/>
        </w:rPr>
        <w:t>详见附件：</w:t>
      </w:r>
      <w:bookmarkStart w:id="0" w:name="_GoBack"/>
      <w:r>
        <w:rPr>
          <w:rFonts w:hint="eastAsia" w:ascii="宋体" w:hAnsi="宋体" w:eastAsia="宋体" w:cs="宋体"/>
          <w:sz w:val="24"/>
          <w:szCs w:val="24"/>
          <w:highlight w:val="none"/>
        </w:rPr>
        <w:t>拟签订合同文本</w:t>
      </w:r>
      <w:bookmarkEnd w:id="0"/>
      <w:r>
        <w:rPr>
          <w:rFonts w:hint="eastAsia" w:ascii="宋体" w:hAnsi="宋体" w:eastAsia="宋体" w:cs="宋体"/>
          <w:sz w:val="24"/>
          <w:szCs w:val="24"/>
          <w:highlight w:val="none"/>
        </w:rPr>
        <w:t>.docx</w:t>
      </w:r>
    </w:p>
    <w:tbl>
      <w:tblPr>
        <w:tblStyle w:val="5"/>
        <w:tblpPr w:leftFromText="180" w:rightFromText="180" w:vertAnchor="text" w:horzAnchor="page" w:tblpX="1740" w:tblpY="2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1951" w:type="dxa"/>
            <w:noWrap w:val="0"/>
            <w:vAlign w:val="top"/>
          </w:tcPr>
          <w:p>
            <w:pPr>
              <w:rPr>
                <w:rFonts w:hint="eastAsia" w:ascii="宋体" w:hAnsi="宋体" w:eastAsia="宋体" w:cs="宋体"/>
                <w:sz w:val="30"/>
                <w:szCs w:val="30"/>
                <w:highlight w:val="none"/>
              </w:rPr>
            </w:pPr>
            <w:r>
              <w:rPr>
                <w:rFonts w:hint="eastAsia" w:ascii="宋体" w:hAnsi="宋体" w:eastAsia="宋体" w:cs="宋体"/>
                <w:b/>
                <w:sz w:val="32"/>
                <w:szCs w:val="32"/>
                <w:highlight w:val="none"/>
              </w:rPr>
              <w:t>院      外</w:t>
            </w:r>
          </w:p>
        </w:tc>
      </w:tr>
    </w:tbl>
    <w:p>
      <w:pPr>
        <w:rPr>
          <w:rFonts w:hint="eastAsia" w:ascii="宋体" w:hAnsi="宋体" w:eastAsia="宋体" w:cs="宋体"/>
          <w:b/>
          <w:sz w:val="32"/>
          <w:szCs w:val="32"/>
          <w:highlight w:val="none"/>
        </w:rPr>
      </w:pPr>
    </w:p>
    <w:p>
      <w:pPr>
        <w:rPr>
          <w:rFonts w:hint="eastAsia" w:ascii="宋体" w:hAnsi="宋体" w:eastAsia="宋体" w:cs="宋体"/>
          <w:b/>
          <w:sz w:val="32"/>
          <w:szCs w:val="32"/>
          <w:highlight w:val="none"/>
        </w:rPr>
      </w:pPr>
    </w:p>
    <w:p>
      <w:pPr>
        <w:tabs>
          <w:tab w:val="center" w:pos="4535"/>
        </w:tabs>
        <w:ind w:firstLine="321" w:firstLineChars="100"/>
        <w:rPr>
          <w:rFonts w:hint="eastAsia" w:ascii="宋体" w:hAnsi="宋体" w:eastAsia="宋体" w:cs="宋体"/>
          <w:b/>
          <w:sz w:val="32"/>
          <w:szCs w:val="32"/>
          <w:highlight w:val="none"/>
        </w:rPr>
      </w:pPr>
    </w:p>
    <w:p>
      <w:pPr>
        <w:tabs>
          <w:tab w:val="center" w:pos="4535"/>
        </w:tabs>
        <w:ind w:firstLine="321" w:firstLineChars="100"/>
        <w:rPr>
          <w:rFonts w:hint="eastAsia" w:ascii="宋体" w:hAnsi="宋体" w:eastAsia="宋体" w:cs="宋体"/>
          <w:b/>
          <w:sz w:val="32"/>
          <w:szCs w:val="32"/>
          <w:highlight w:val="none"/>
          <w:lang w:eastAsia="zh-CN"/>
        </w:rPr>
      </w:pPr>
      <w:r>
        <w:rPr>
          <w:rFonts w:hint="eastAsia" w:ascii="宋体" w:hAnsi="宋体" w:eastAsia="宋体" w:cs="宋体"/>
          <w:b/>
          <w:sz w:val="32"/>
          <w:szCs w:val="32"/>
          <w:highlight w:val="none"/>
        </w:rPr>
        <w:t>合同编号：DWYY-202</w:t>
      </w:r>
      <w:r>
        <w:rPr>
          <w:rFonts w:hint="eastAsia" w:ascii="宋体" w:hAnsi="宋体" w:eastAsia="宋体" w:cs="宋体"/>
          <w:b/>
          <w:sz w:val="32"/>
          <w:szCs w:val="32"/>
          <w:highlight w:val="none"/>
          <w:lang w:val="en-US" w:eastAsia="zh-CN"/>
        </w:rPr>
        <w:t>4</w:t>
      </w:r>
      <w:r>
        <w:rPr>
          <w:rFonts w:hint="eastAsia" w:ascii="宋体" w:hAnsi="宋体" w:eastAsia="宋体" w:cs="宋体"/>
          <w:b/>
          <w:sz w:val="32"/>
          <w:szCs w:val="32"/>
          <w:highlight w:val="none"/>
        </w:rPr>
        <w:t>-SBK-H-</w:t>
      </w:r>
      <w:r>
        <w:rPr>
          <w:rFonts w:hint="eastAsia" w:ascii="宋体" w:hAnsi="宋体" w:eastAsia="宋体" w:cs="宋体"/>
          <w:b/>
          <w:sz w:val="32"/>
          <w:szCs w:val="32"/>
          <w:highlight w:val="none"/>
          <w:lang w:eastAsia="zh-CN"/>
        </w:rPr>
        <w:tab/>
      </w:r>
    </w:p>
    <w:p>
      <w:pPr>
        <w:tabs>
          <w:tab w:val="center" w:pos="4535"/>
        </w:tabs>
        <w:ind w:firstLine="321" w:firstLineChars="100"/>
        <w:rPr>
          <w:rFonts w:hint="eastAsia" w:ascii="宋体" w:hAnsi="宋体" w:eastAsia="宋体" w:cs="宋体"/>
          <w:b/>
          <w:sz w:val="32"/>
          <w:szCs w:val="32"/>
          <w:highlight w:val="none"/>
          <w:lang w:eastAsia="zh-CN"/>
        </w:rPr>
      </w:pPr>
    </w:p>
    <w:p>
      <w:pPr>
        <w:tabs>
          <w:tab w:val="center" w:pos="4535"/>
        </w:tabs>
        <w:ind w:firstLine="321" w:firstLineChars="100"/>
        <w:rPr>
          <w:rFonts w:hint="eastAsia" w:ascii="宋体" w:hAnsi="宋体" w:eastAsia="宋体" w:cs="宋体"/>
          <w:b/>
          <w:sz w:val="32"/>
          <w:szCs w:val="32"/>
          <w:highlight w:val="none"/>
          <w:lang w:eastAsia="zh-CN"/>
        </w:rPr>
      </w:pPr>
    </w:p>
    <w:p>
      <w:pPr>
        <w:tabs>
          <w:tab w:val="center" w:pos="4535"/>
        </w:tabs>
        <w:jc w:val="center"/>
        <w:rPr>
          <w:rFonts w:hint="eastAsia" w:ascii="宋体" w:hAnsi="宋体" w:eastAsia="宋体" w:cs="宋体"/>
          <w:b/>
          <w:snapToGrid w:val="0"/>
          <w:sz w:val="48"/>
          <w:szCs w:val="48"/>
          <w:highlight w:val="none"/>
        </w:rPr>
      </w:pPr>
      <w:r>
        <w:rPr>
          <w:rFonts w:hint="eastAsia" w:ascii="宋体" w:hAnsi="宋体" w:eastAsia="宋体" w:cs="宋体"/>
          <w:b/>
          <w:snapToGrid w:val="0"/>
          <w:sz w:val="48"/>
          <w:szCs w:val="48"/>
          <w:highlight w:val="none"/>
        </w:rPr>
        <w:t>西安市第五医院</w:t>
      </w:r>
    </w:p>
    <w:p>
      <w:pPr>
        <w:jc w:val="center"/>
        <w:rPr>
          <w:rFonts w:hint="eastAsia" w:ascii="宋体" w:hAnsi="宋体" w:eastAsia="宋体" w:cs="宋体"/>
          <w:b/>
          <w:snapToGrid w:val="0"/>
          <w:sz w:val="44"/>
          <w:szCs w:val="44"/>
          <w:highlight w:val="none"/>
        </w:rPr>
      </w:pPr>
      <w:r>
        <w:rPr>
          <w:rFonts w:hint="eastAsia" w:ascii="宋体" w:hAnsi="宋体" w:eastAsia="宋体" w:cs="宋体"/>
          <w:b/>
          <w:snapToGrid w:val="0"/>
          <w:sz w:val="44"/>
          <w:szCs w:val="44"/>
          <w:highlight w:val="none"/>
        </w:rPr>
        <w:t xml:space="preserve"> （项目名称:</w:t>
      </w:r>
      <w:r>
        <w:rPr>
          <w:rFonts w:hint="eastAsia" w:ascii="宋体" w:hAnsi="宋体" w:eastAsia="宋体" w:cs="宋体"/>
          <w:b/>
          <w:snapToGrid w:val="0"/>
          <w:sz w:val="44"/>
          <w:szCs w:val="44"/>
          <w:highlight w:val="none"/>
          <w:lang w:val="en-US" w:eastAsia="zh-CN"/>
        </w:rPr>
        <w:t xml:space="preserve">         </w:t>
      </w:r>
      <w:r>
        <w:rPr>
          <w:rFonts w:hint="eastAsia" w:ascii="宋体" w:hAnsi="宋体" w:eastAsia="宋体" w:cs="宋体"/>
          <w:b/>
          <w:snapToGrid w:val="0"/>
          <w:sz w:val="44"/>
          <w:szCs w:val="44"/>
          <w:highlight w:val="none"/>
        </w:rPr>
        <w:t>）</w:t>
      </w:r>
    </w:p>
    <w:p>
      <w:pPr>
        <w:pStyle w:val="11"/>
        <w:rPr>
          <w:rFonts w:hint="eastAsia" w:ascii="宋体" w:hAnsi="宋体" w:eastAsia="宋体" w:cs="宋体"/>
          <w:b/>
          <w:snapToGrid w:val="0"/>
          <w:sz w:val="48"/>
          <w:szCs w:val="48"/>
          <w:highlight w:val="none"/>
        </w:rPr>
      </w:pPr>
    </w:p>
    <w:p>
      <w:pPr>
        <w:jc w:val="center"/>
        <w:rPr>
          <w:rFonts w:hint="eastAsia" w:ascii="宋体" w:hAnsi="宋体" w:eastAsia="宋体" w:cs="宋体"/>
          <w:b/>
          <w:sz w:val="72"/>
          <w:szCs w:val="72"/>
          <w:highlight w:val="none"/>
        </w:rPr>
      </w:pPr>
      <w:r>
        <w:rPr>
          <w:rFonts w:hint="eastAsia" w:ascii="宋体" w:hAnsi="宋体" w:eastAsia="宋体" w:cs="宋体"/>
          <w:b/>
          <w:color w:val="auto"/>
          <w:sz w:val="72"/>
          <w:szCs w:val="72"/>
          <w:highlight w:val="none"/>
          <w:lang w:val="en-US" w:eastAsia="zh-CN"/>
        </w:rPr>
        <w:t xml:space="preserve">买 卖 </w:t>
      </w:r>
      <w:r>
        <w:rPr>
          <w:rFonts w:hint="eastAsia" w:ascii="宋体" w:hAnsi="宋体" w:eastAsia="宋体" w:cs="宋体"/>
          <w:b/>
          <w:sz w:val="72"/>
          <w:szCs w:val="72"/>
          <w:highlight w:val="none"/>
        </w:rPr>
        <w:t>合 同</w:t>
      </w:r>
    </w:p>
    <w:p>
      <w:pPr>
        <w:pStyle w:val="4"/>
        <w:rPr>
          <w:rFonts w:hint="eastAsia" w:ascii="宋体" w:hAnsi="宋体" w:eastAsia="宋体" w:cs="宋体"/>
          <w:b/>
          <w:snapToGrid w:val="0"/>
          <w:sz w:val="30"/>
          <w:szCs w:val="30"/>
          <w:highlight w:val="none"/>
        </w:rPr>
      </w:pPr>
      <w:r>
        <w:rPr>
          <w:rFonts w:hint="eastAsia" w:ascii="宋体" w:hAnsi="宋体" w:eastAsia="宋体" w:cs="宋体"/>
          <w:b/>
          <w:sz w:val="72"/>
          <w:szCs w:val="72"/>
          <w:highlight w:val="none"/>
        </w:rPr>
        <w:t xml:space="preserve">       </w:t>
      </w:r>
      <w:r>
        <w:rPr>
          <w:rFonts w:hint="eastAsia" w:ascii="宋体" w:hAnsi="宋体" w:eastAsia="宋体" w:cs="宋体"/>
          <w:b/>
          <w:snapToGrid w:val="0"/>
          <w:sz w:val="30"/>
          <w:szCs w:val="30"/>
          <w:highlight w:val="none"/>
        </w:rPr>
        <w:t>（项目编号：</w:t>
      </w:r>
      <w:r>
        <w:rPr>
          <w:rFonts w:hint="eastAsia" w:ascii="宋体" w:hAnsi="宋体" w:eastAsia="宋体" w:cs="宋体"/>
          <w:b/>
          <w:snapToGrid w:val="0"/>
          <w:sz w:val="30"/>
          <w:szCs w:val="30"/>
          <w:highlight w:val="none"/>
          <w:lang w:val="en-US" w:eastAsia="zh-CN"/>
        </w:rPr>
        <w:t xml:space="preserve">          </w:t>
      </w:r>
      <w:r>
        <w:rPr>
          <w:rFonts w:hint="eastAsia" w:ascii="宋体" w:hAnsi="宋体" w:eastAsia="宋体" w:cs="宋体"/>
          <w:b/>
          <w:snapToGrid w:val="0"/>
          <w:sz w:val="30"/>
          <w:szCs w:val="30"/>
          <w:highlight w:val="none"/>
        </w:rPr>
        <w:t>）</w:t>
      </w:r>
    </w:p>
    <w:p>
      <w:pPr>
        <w:jc w:val="both"/>
        <w:rPr>
          <w:rFonts w:hint="eastAsia" w:ascii="宋体" w:hAnsi="宋体" w:eastAsia="宋体" w:cs="宋体"/>
          <w:sz w:val="30"/>
          <w:szCs w:val="30"/>
          <w:highlight w:val="none"/>
        </w:rPr>
      </w:pPr>
    </w:p>
    <w:p>
      <w:pPr>
        <w:pStyle w:val="4"/>
        <w:rPr>
          <w:rFonts w:hint="eastAsia" w:ascii="宋体" w:hAnsi="宋体" w:eastAsia="宋体" w:cs="宋体"/>
          <w:sz w:val="30"/>
          <w:szCs w:val="30"/>
          <w:highlight w:val="none"/>
        </w:rPr>
      </w:pPr>
    </w:p>
    <w:p>
      <w:pPr>
        <w:ind w:firstLine="2080" w:firstLineChars="650"/>
        <w:rPr>
          <w:rFonts w:hint="eastAsia" w:ascii="宋体" w:hAnsi="宋体" w:eastAsia="宋体" w:cs="宋体"/>
          <w:sz w:val="32"/>
          <w:szCs w:val="32"/>
          <w:highlight w:val="none"/>
        </w:rPr>
      </w:pPr>
      <w:r>
        <w:rPr>
          <w:rFonts w:hint="eastAsia" w:ascii="宋体" w:hAnsi="宋体" w:eastAsia="宋体" w:cs="宋体"/>
          <w:sz w:val="32"/>
          <w:szCs w:val="32"/>
          <w:highlight w:val="none"/>
        </w:rPr>
        <w:t>甲  方： 西安市第五医院</w:t>
      </w:r>
    </w:p>
    <w:p>
      <w:pPr>
        <w:keepNext w:val="0"/>
        <w:keepLines w:val="0"/>
        <w:widowControl w:val="0"/>
        <w:suppressLineNumbers w:val="0"/>
        <w:tabs>
          <w:tab w:val="left" w:pos="480"/>
        </w:tabs>
        <w:spacing w:before="0" w:beforeAutospacing="0" w:after="0" w:afterAutospacing="0" w:line="360" w:lineRule="auto"/>
        <w:ind w:left="0" w:right="0" w:firstLine="640"/>
        <w:jc w:val="both"/>
        <w:rPr>
          <w:rFonts w:hint="eastAsia" w:ascii="宋体" w:hAnsi="宋体" w:eastAsia="宋体" w:cs="宋体"/>
          <w:sz w:val="32"/>
          <w:szCs w:val="22"/>
          <w:highlight w:val="none"/>
          <w:lang w:val="en-US"/>
        </w:rPr>
      </w:pPr>
      <w:r>
        <w:rPr>
          <w:rFonts w:hint="eastAsia" w:ascii="宋体" w:hAnsi="宋体" w:eastAsia="宋体" w:cs="宋体"/>
          <w:sz w:val="32"/>
          <w:szCs w:val="32"/>
          <w:highlight w:val="none"/>
        </w:rPr>
        <w:t xml:space="preserve">         乙  方：</w:t>
      </w:r>
    </w:p>
    <w:p>
      <w:pPr>
        <w:pStyle w:val="4"/>
        <w:rPr>
          <w:rFonts w:hint="eastAsia" w:ascii="宋体" w:hAnsi="宋体" w:eastAsia="宋体" w:cs="宋体"/>
          <w:highlight w:val="none"/>
          <w:lang w:eastAsia="zh-CN"/>
        </w:rPr>
      </w:pPr>
      <w:r>
        <w:rPr>
          <w:rFonts w:hint="eastAsia" w:ascii="宋体" w:hAnsi="宋体" w:eastAsia="宋体" w:cs="宋体"/>
          <w:sz w:val="32"/>
          <w:szCs w:val="32"/>
          <w:highlight w:val="none"/>
        </w:rPr>
        <w:t xml:space="preserve">            </w:t>
      </w:r>
    </w:p>
    <w:p>
      <w:pPr>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            </w:t>
      </w:r>
    </w:p>
    <w:p>
      <w:pPr>
        <w:jc w:val="center"/>
        <w:rPr>
          <w:rFonts w:hint="eastAsia" w:ascii="宋体" w:hAnsi="宋体" w:eastAsia="宋体" w:cs="宋体"/>
          <w:sz w:val="32"/>
          <w:szCs w:val="32"/>
          <w:highlight w:val="none"/>
        </w:rPr>
      </w:pPr>
      <w:r>
        <w:rPr>
          <w:rFonts w:hint="eastAsia" w:ascii="宋体" w:hAnsi="宋体" w:eastAsia="宋体" w:cs="宋体"/>
          <w:sz w:val="32"/>
          <w:szCs w:val="32"/>
          <w:highlight w:val="none"/>
        </w:rPr>
        <w:t>202</w:t>
      </w:r>
      <w:r>
        <w:rPr>
          <w:rFonts w:hint="eastAsia" w:ascii="宋体" w:hAnsi="宋体" w:eastAsia="宋体" w:cs="宋体"/>
          <w:sz w:val="32"/>
          <w:szCs w:val="32"/>
          <w:highlight w:val="none"/>
          <w:lang w:val="en-US" w:eastAsia="zh-CN"/>
        </w:rPr>
        <w:t>5</w:t>
      </w:r>
      <w:r>
        <w:rPr>
          <w:rFonts w:hint="eastAsia" w:ascii="宋体" w:hAnsi="宋体" w:eastAsia="宋体" w:cs="宋体"/>
          <w:sz w:val="32"/>
          <w:szCs w:val="32"/>
          <w:highlight w:val="none"/>
        </w:rPr>
        <w:t xml:space="preserve">年 </w:t>
      </w:r>
      <w:r>
        <w:rPr>
          <w:rFonts w:hint="eastAsia" w:ascii="宋体" w:hAnsi="宋体" w:eastAsia="宋体" w:cs="宋体"/>
          <w:sz w:val="32"/>
          <w:szCs w:val="32"/>
          <w:highlight w:val="none"/>
          <w:lang w:val="en-US" w:eastAsia="zh-CN"/>
        </w:rPr>
        <w:t>x</w:t>
      </w:r>
      <w:r>
        <w:rPr>
          <w:rFonts w:hint="eastAsia" w:ascii="宋体" w:hAnsi="宋体" w:eastAsia="宋体" w:cs="宋体"/>
          <w:sz w:val="32"/>
          <w:szCs w:val="32"/>
          <w:highlight w:val="none"/>
        </w:rPr>
        <w:t>月</w:t>
      </w:r>
    </w:p>
    <w:p>
      <w:pPr>
        <w:jc w:val="center"/>
        <w:rPr>
          <w:rFonts w:hint="eastAsia" w:ascii="宋体" w:hAnsi="宋体" w:eastAsia="宋体" w:cs="宋体"/>
          <w:sz w:val="32"/>
          <w:szCs w:val="32"/>
          <w:highlight w:val="none"/>
        </w:rPr>
      </w:pPr>
      <w:r>
        <w:rPr>
          <w:rFonts w:hint="eastAsia" w:ascii="宋体" w:hAnsi="宋体" w:eastAsia="宋体" w:cs="宋体"/>
          <w:sz w:val="32"/>
          <w:szCs w:val="32"/>
          <w:highlight w:val="none"/>
        </w:rPr>
        <w:t>中国  西安</w:t>
      </w:r>
    </w:p>
    <w:p>
      <w:pPr>
        <w:keepNext w:val="0"/>
        <w:keepLines w:val="0"/>
        <w:pageBreakBefore w:val="0"/>
        <w:kinsoku/>
        <w:wordWrap/>
        <w:overflowPunct/>
        <w:topLinePunct w:val="0"/>
        <w:bidi w:val="0"/>
        <w:adjustRightInd w:val="0"/>
        <w:snapToGrid w:val="0"/>
        <w:spacing w:line="360" w:lineRule="auto"/>
        <w:ind w:left="0" w:right="0" w:firstLine="480" w:firstLineChars="200"/>
        <w:rPr>
          <w:rFonts w:hint="eastAsia" w:ascii="宋体" w:hAnsi="宋体" w:eastAsia="宋体" w:cs="宋体"/>
          <w:sz w:val="24"/>
          <w:szCs w:val="24"/>
          <w:highlight w:val="none"/>
        </w:rPr>
      </w:pPr>
    </w:p>
    <w:p>
      <w:pPr>
        <w:keepNext w:val="0"/>
        <w:keepLines w:val="0"/>
        <w:pageBreakBefore w:val="0"/>
        <w:kinsoku/>
        <w:wordWrap/>
        <w:overflowPunct/>
        <w:topLinePunct w:val="0"/>
        <w:bidi w:val="0"/>
        <w:adjustRightInd w:val="0"/>
        <w:snapToGrid w:val="0"/>
        <w:spacing w:line="360" w:lineRule="auto"/>
        <w:ind w:left="0" w:right="0" w:firstLine="480" w:firstLineChars="200"/>
        <w:rPr>
          <w:rFonts w:hint="eastAsia" w:ascii="宋体" w:hAnsi="宋体" w:eastAsia="宋体" w:cs="宋体"/>
          <w:sz w:val="24"/>
          <w:szCs w:val="24"/>
          <w:highlight w:val="none"/>
        </w:rPr>
      </w:pPr>
    </w:p>
    <w:p>
      <w:pPr>
        <w:keepNext w:val="0"/>
        <w:keepLines w:val="0"/>
        <w:pageBreakBefore w:val="0"/>
        <w:kinsoku/>
        <w:wordWrap/>
        <w:overflowPunct/>
        <w:topLinePunct w:val="0"/>
        <w:bidi w:val="0"/>
        <w:adjustRightInd w:val="0"/>
        <w:snapToGrid w:val="0"/>
        <w:spacing w:line="360" w:lineRule="auto"/>
        <w:ind w:left="0" w:right="0" w:firstLine="480" w:firstLineChars="200"/>
        <w:rPr>
          <w:rFonts w:hint="eastAsia" w:ascii="宋体" w:hAnsi="宋体" w:eastAsia="宋体" w:cs="宋体"/>
          <w:sz w:val="24"/>
          <w:szCs w:val="24"/>
          <w:highlight w:val="none"/>
        </w:rPr>
      </w:pPr>
    </w:p>
    <w:p>
      <w:pPr>
        <w:keepNext w:val="0"/>
        <w:keepLines w:val="0"/>
        <w:pageBreakBefore w:val="0"/>
        <w:kinsoku/>
        <w:wordWrap/>
        <w:overflowPunct/>
        <w:topLinePunct w:val="0"/>
        <w:bidi w:val="0"/>
        <w:adjustRightInd w:val="0"/>
        <w:snapToGrid w:val="0"/>
        <w:spacing w:line="360" w:lineRule="auto"/>
        <w:ind w:left="0" w:righ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甲</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方： 西安市第五医院</w:t>
      </w:r>
    </w:p>
    <w:p>
      <w:pPr>
        <w:keepNext w:val="0"/>
        <w:keepLines w:val="0"/>
        <w:pageBreakBefore w:val="0"/>
        <w:widowControl w:val="0"/>
        <w:suppressLineNumbers w:val="0"/>
        <w:tabs>
          <w:tab w:val="left" w:pos="480"/>
        </w:tabs>
        <w:kinsoku/>
        <w:wordWrap/>
        <w:overflowPunct/>
        <w:topLinePunct w:val="0"/>
        <w:bidi w:val="0"/>
        <w:adjustRightInd w:val="0"/>
        <w:snapToGrid w:val="0"/>
        <w:spacing w:beforeAutospacing="0" w:after="0" w:afterAutospacing="0" w:line="360" w:lineRule="auto"/>
        <w:ind w:left="0" w:right="0" w:firstLine="480" w:firstLineChars="200"/>
        <w:jc w:val="both"/>
        <w:rPr>
          <w:rFonts w:hint="eastAsia" w:ascii="宋体" w:hAnsi="宋体" w:eastAsia="宋体" w:cs="宋体"/>
          <w:sz w:val="24"/>
          <w:szCs w:val="24"/>
          <w:highlight w:val="none"/>
          <w:lang w:val="en-US"/>
        </w:rPr>
      </w:pPr>
      <w:r>
        <w:rPr>
          <w:rFonts w:hint="eastAsia" w:ascii="宋体" w:hAnsi="宋体" w:eastAsia="宋体" w:cs="宋体"/>
          <w:color w:val="auto"/>
          <w:sz w:val="24"/>
          <w:szCs w:val="24"/>
          <w:highlight w:val="none"/>
        </w:rPr>
        <w:t>乙</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方：</w:t>
      </w:r>
    </w:p>
    <w:p>
      <w:pPr>
        <w:keepNext w:val="0"/>
        <w:keepLines w:val="0"/>
        <w:pageBreakBefore w:val="0"/>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sz w:val="24"/>
          <w:szCs w:val="24"/>
          <w:highlight w:val="none"/>
        </w:rPr>
        <w:t>甲方所需货物，在西安市财政局政府采购管理处的监督管理下，按照政府采购程序组织</w:t>
      </w:r>
      <w:r>
        <w:rPr>
          <w:rFonts w:hint="eastAsia" w:ascii="宋体" w:hAnsi="宋体" w:eastAsia="宋体" w:cs="宋体"/>
          <w:sz w:val="24"/>
          <w:szCs w:val="24"/>
          <w:highlight w:val="none"/>
          <w:lang w:val="en-US" w:eastAsia="zh-CN"/>
        </w:rPr>
        <w:t>公开招标</w:t>
      </w:r>
      <w:r>
        <w:rPr>
          <w:rFonts w:hint="eastAsia" w:ascii="宋体" w:hAnsi="宋体" w:eastAsia="宋体" w:cs="宋体"/>
          <w:sz w:val="24"/>
          <w:szCs w:val="24"/>
          <w:highlight w:val="none"/>
        </w:rPr>
        <w:t>，确定乙</w:t>
      </w:r>
      <w:r>
        <w:rPr>
          <w:rFonts w:hint="eastAsia" w:ascii="宋体" w:hAnsi="宋体" w:eastAsia="宋体" w:cs="宋体"/>
          <w:color w:val="auto"/>
          <w:sz w:val="24"/>
          <w:szCs w:val="24"/>
          <w:highlight w:val="none"/>
        </w:rPr>
        <w:t>方为成交供应商。依据《中华人民共和国政府采购法》、《中华人民共和国招标投标法》、《中华人民共和国</w:t>
      </w:r>
      <w:r>
        <w:rPr>
          <w:rFonts w:hint="eastAsia" w:ascii="宋体" w:hAnsi="宋体" w:eastAsia="宋体" w:cs="宋体"/>
          <w:color w:val="auto"/>
          <w:sz w:val="24"/>
          <w:szCs w:val="24"/>
          <w:highlight w:val="none"/>
          <w:lang w:val="en-US" w:eastAsia="zh-CN"/>
        </w:rPr>
        <w:t>民法典</w:t>
      </w:r>
      <w:r>
        <w:rPr>
          <w:rFonts w:hint="eastAsia" w:ascii="宋体" w:hAnsi="宋体" w:eastAsia="宋体" w:cs="宋体"/>
          <w:color w:val="auto"/>
          <w:sz w:val="24"/>
          <w:szCs w:val="24"/>
          <w:highlight w:val="none"/>
        </w:rPr>
        <w:t>》以及</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rPr>
        <w:t>文件、成交供应商</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正本和澄清表（函）、成交通知书，经甲、乙双方协商，达成如下条款：</w:t>
      </w:r>
    </w:p>
    <w:p>
      <w:pPr>
        <w:keepNext w:val="0"/>
        <w:keepLines w:val="0"/>
        <w:pageBreakBefore w:val="0"/>
        <w:tabs>
          <w:tab w:val="left" w:pos="480"/>
        </w:tabs>
        <w:kinsoku/>
        <w:wordWrap/>
        <w:overflowPunct/>
        <w:topLinePunct w:val="0"/>
        <w:bidi w:val="0"/>
        <w:adjustRightInd w:val="0"/>
        <w:snapToGrid w:val="0"/>
        <w:spacing w:line="360" w:lineRule="auto"/>
        <w:ind w:left="0" w:right="0" w:firstLine="482" w:firstLineChars="200"/>
        <w:rPr>
          <w:rFonts w:hint="eastAsia" w:ascii="宋体" w:hAnsi="宋体" w:eastAsia="宋体" w:cs="宋体"/>
          <w:b/>
          <w:color w:val="auto"/>
          <w:szCs w:val="21"/>
          <w:highlight w:val="none"/>
        </w:rPr>
      </w:pPr>
      <w:r>
        <w:rPr>
          <w:rFonts w:hint="eastAsia" w:ascii="宋体" w:hAnsi="宋体" w:eastAsia="宋体" w:cs="宋体"/>
          <w:b/>
          <w:color w:val="auto"/>
          <w:sz w:val="24"/>
          <w:szCs w:val="24"/>
          <w:highlight w:val="none"/>
        </w:rPr>
        <w:t>一、合同标的物</w:t>
      </w:r>
      <w:r>
        <w:rPr>
          <w:rFonts w:hint="eastAsia" w:ascii="宋体" w:hAnsi="宋体" w:eastAsia="宋体" w:cs="宋体"/>
          <w:b/>
          <w:color w:val="auto"/>
          <w:sz w:val="24"/>
          <w:szCs w:val="24"/>
          <w:highlight w:val="none"/>
          <w:lang w:val="en-US" w:eastAsia="zh-CN"/>
        </w:rPr>
        <w:t>品</w:t>
      </w:r>
      <w:r>
        <w:rPr>
          <w:rFonts w:hint="eastAsia" w:ascii="宋体" w:hAnsi="宋体" w:eastAsia="宋体" w:cs="宋体"/>
          <w:b/>
          <w:color w:val="auto"/>
          <w:sz w:val="24"/>
          <w:szCs w:val="24"/>
          <w:highlight w:val="none"/>
        </w:rPr>
        <w:t>内容及数量</w:t>
      </w:r>
      <w:r>
        <w:rPr>
          <w:rFonts w:hint="eastAsia" w:ascii="宋体" w:hAnsi="宋体" w:eastAsia="宋体" w:cs="宋体"/>
          <w:color w:val="auto"/>
          <w:sz w:val="24"/>
          <w:szCs w:val="24"/>
          <w:highlight w:val="none"/>
        </w:rPr>
        <w:t>（以</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正本和澄清表〈函〉为准）</w:t>
      </w:r>
    </w:p>
    <w:tbl>
      <w:tblPr>
        <w:tblStyle w:val="5"/>
        <w:tblW w:w="9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1713"/>
        <w:gridCol w:w="1695"/>
        <w:gridCol w:w="928"/>
        <w:gridCol w:w="1125"/>
        <w:gridCol w:w="1416"/>
        <w:gridCol w:w="1417"/>
        <w:gridCol w:w="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480"/>
              </w:tabs>
              <w:kinsoku/>
              <w:wordWrap/>
              <w:overflowPunct/>
              <w:topLinePunct w:val="0"/>
              <w:bidi w:val="0"/>
              <w:adjustRightInd w:val="0"/>
              <w:snapToGrid w:val="0"/>
              <w:spacing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71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480"/>
              </w:tabs>
              <w:kinsoku/>
              <w:wordWrap/>
              <w:overflowPunct/>
              <w:topLinePunct w:val="0"/>
              <w:bidi w:val="0"/>
              <w:adjustRightInd w:val="0"/>
              <w:snapToGrid w:val="0"/>
              <w:spacing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6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480"/>
              </w:tabs>
              <w:kinsoku/>
              <w:wordWrap/>
              <w:overflowPunct/>
              <w:topLinePunct w:val="0"/>
              <w:bidi w:val="0"/>
              <w:adjustRightInd w:val="0"/>
              <w:snapToGrid w:val="0"/>
              <w:spacing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规格参数</w:t>
            </w:r>
          </w:p>
        </w:tc>
        <w:tc>
          <w:tcPr>
            <w:tcW w:w="9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480"/>
              </w:tabs>
              <w:kinsoku/>
              <w:wordWrap/>
              <w:overflowPunct/>
              <w:topLinePunct w:val="0"/>
              <w:bidi w:val="0"/>
              <w:adjustRightInd w:val="0"/>
              <w:snapToGrid w:val="0"/>
              <w:spacing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12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tabs>
                <w:tab w:val="left" w:pos="480"/>
              </w:tabs>
              <w:kinsoku/>
              <w:wordWrap/>
              <w:overflowPunct/>
              <w:topLinePunct w:val="0"/>
              <w:bidi w:val="0"/>
              <w:adjustRightInd w:val="0"/>
              <w:snapToGrid w:val="0"/>
              <w:spacing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产地</w:t>
            </w:r>
          </w:p>
        </w:tc>
        <w:tc>
          <w:tcPr>
            <w:tcW w:w="141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tabs>
                <w:tab w:val="left" w:pos="480"/>
              </w:tabs>
              <w:kinsoku/>
              <w:wordWrap/>
              <w:overflowPunct/>
              <w:topLinePunct w:val="0"/>
              <w:bidi w:val="0"/>
              <w:adjustRightInd w:val="0"/>
              <w:snapToGrid w:val="0"/>
              <w:spacing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品牌</w:t>
            </w:r>
          </w:p>
        </w:tc>
        <w:tc>
          <w:tcPr>
            <w:tcW w:w="141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tabs>
                <w:tab w:val="left" w:pos="480"/>
              </w:tabs>
              <w:kinsoku/>
              <w:wordWrap/>
              <w:overflowPunct/>
              <w:topLinePunct w:val="0"/>
              <w:bidi w:val="0"/>
              <w:adjustRightInd w:val="0"/>
              <w:snapToGrid w:val="0"/>
              <w:spacing w:line="360" w:lineRule="auto"/>
              <w:ind w:left="0" w:right="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单价</w:t>
            </w:r>
          </w:p>
        </w:tc>
        <w:tc>
          <w:tcPr>
            <w:tcW w:w="74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tabs>
                <w:tab w:val="left" w:pos="480"/>
              </w:tabs>
              <w:kinsoku/>
              <w:wordWrap/>
              <w:overflowPunct/>
              <w:topLinePunct w:val="0"/>
              <w:bidi w:val="0"/>
              <w:adjustRightInd w:val="0"/>
              <w:snapToGrid w:val="0"/>
              <w:spacing w:line="360" w:lineRule="auto"/>
              <w:ind w:left="0" w:right="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480"/>
              </w:tabs>
              <w:kinsoku/>
              <w:wordWrap/>
              <w:overflowPunct/>
              <w:topLinePunct w:val="0"/>
              <w:bidi w:val="0"/>
              <w:adjustRightInd w:val="0"/>
              <w:snapToGrid w:val="0"/>
              <w:spacing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71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480"/>
              </w:tabs>
              <w:kinsoku/>
              <w:wordWrap/>
              <w:overflowPunct/>
              <w:topLinePunct w:val="0"/>
              <w:bidi w:val="0"/>
              <w:adjustRightInd w:val="0"/>
              <w:snapToGrid w:val="0"/>
              <w:spacing w:line="360" w:lineRule="auto"/>
              <w:ind w:left="0" w:right="0"/>
              <w:jc w:val="center"/>
              <w:rPr>
                <w:rFonts w:hint="eastAsia" w:ascii="宋体" w:hAnsi="宋体" w:eastAsia="宋体" w:cs="宋体"/>
                <w:color w:val="auto"/>
                <w:sz w:val="24"/>
                <w:szCs w:val="24"/>
                <w:highlight w:val="none"/>
              </w:rPr>
            </w:pPr>
          </w:p>
        </w:tc>
        <w:tc>
          <w:tcPr>
            <w:tcW w:w="16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480"/>
              </w:tabs>
              <w:kinsoku/>
              <w:wordWrap/>
              <w:overflowPunct/>
              <w:topLinePunct w:val="0"/>
              <w:bidi w:val="0"/>
              <w:adjustRightInd w:val="0"/>
              <w:snapToGrid w:val="0"/>
              <w:spacing w:line="360" w:lineRule="auto"/>
              <w:ind w:left="0" w:right="0"/>
              <w:jc w:val="center"/>
              <w:rPr>
                <w:rFonts w:hint="eastAsia" w:ascii="宋体" w:hAnsi="宋体" w:eastAsia="宋体" w:cs="宋体"/>
                <w:color w:val="auto"/>
                <w:sz w:val="24"/>
                <w:szCs w:val="24"/>
                <w:highlight w:val="none"/>
              </w:rPr>
            </w:pPr>
          </w:p>
        </w:tc>
        <w:tc>
          <w:tcPr>
            <w:tcW w:w="9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360" w:lineRule="auto"/>
              <w:ind w:left="0" w:right="0"/>
              <w:jc w:val="center"/>
              <w:rPr>
                <w:rFonts w:hint="eastAsia" w:ascii="宋体" w:hAnsi="宋体" w:eastAsia="宋体" w:cs="宋体"/>
                <w:color w:val="auto"/>
                <w:sz w:val="24"/>
                <w:szCs w:val="24"/>
                <w:highlight w:val="none"/>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adjustRightInd w:val="0"/>
              <w:snapToGrid w:val="0"/>
              <w:spacing w:line="360" w:lineRule="auto"/>
              <w:ind w:left="0" w:right="0"/>
              <w:jc w:val="center"/>
              <w:rPr>
                <w:rFonts w:hint="eastAsia" w:ascii="宋体" w:hAnsi="宋体" w:eastAsia="宋体" w:cs="宋体"/>
                <w:color w:val="auto"/>
                <w:sz w:val="24"/>
                <w:szCs w:val="24"/>
                <w:highlight w:val="none"/>
                <w:lang w:val="en-US" w:eastAsia="zh-CN"/>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480"/>
              </w:tabs>
              <w:kinsoku/>
              <w:wordWrap/>
              <w:overflowPunct/>
              <w:topLinePunct w:val="0"/>
              <w:bidi w:val="0"/>
              <w:adjustRightInd w:val="0"/>
              <w:snapToGrid w:val="0"/>
              <w:spacing w:line="360" w:lineRule="auto"/>
              <w:ind w:left="0" w:right="0"/>
              <w:jc w:val="center"/>
              <w:rPr>
                <w:rFonts w:hint="eastAsia" w:ascii="宋体" w:hAnsi="宋体" w:eastAsia="宋体" w:cs="宋体"/>
                <w:color w:val="auto"/>
                <w:sz w:val="24"/>
                <w:szCs w:val="24"/>
                <w:highlight w:val="none"/>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480"/>
              </w:tabs>
              <w:kinsoku/>
              <w:wordWrap/>
              <w:overflowPunct/>
              <w:topLinePunct w:val="0"/>
              <w:bidi w:val="0"/>
              <w:adjustRightInd w:val="0"/>
              <w:snapToGrid w:val="0"/>
              <w:spacing w:line="360" w:lineRule="auto"/>
              <w:ind w:left="0" w:right="0"/>
              <w:jc w:val="center"/>
              <w:rPr>
                <w:rFonts w:hint="eastAsia" w:ascii="宋体" w:hAnsi="宋体" w:eastAsia="宋体" w:cs="宋体"/>
                <w:color w:val="auto"/>
                <w:sz w:val="24"/>
                <w:szCs w:val="24"/>
                <w:highlight w:val="none"/>
              </w:rPr>
            </w:pPr>
          </w:p>
        </w:tc>
        <w:tc>
          <w:tcPr>
            <w:tcW w:w="7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480"/>
              </w:tabs>
              <w:kinsoku/>
              <w:wordWrap/>
              <w:overflowPunct/>
              <w:topLinePunct w:val="0"/>
              <w:bidi w:val="0"/>
              <w:adjustRightInd w:val="0"/>
              <w:snapToGrid w:val="0"/>
              <w:spacing w:line="360" w:lineRule="auto"/>
              <w:ind w:left="0" w:right="0"/>
              <w:jc w:val="center"/>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480"/>
              </w:tabs>
              <w:kinsoku/>
              <w:wordWrap/>
              <w:overflowPunct/>
              <w:topLinePunct w:val="0"/>
              <w:bidi w:val="0"/>
              <w:adjustRightInd w:val="0"/>
              <w:snapToGrid w:val="0"/>
              <w:spacing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tc>
        <w:tc>
          <w:tcPr>
            <w:tcW w:w="8294"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480"/>
                <w:tab w:val="left" w:pos="3431"/>
              </w:tabs>
              <w:kinsoku/>
              <w:wordWrap/>
              <w:overflowPunct/>
              <w:topLinePunct w:val="0"/>
              <w:bidi w:val="0"/>
              <w:adjustRightInd w:val="0"/>
              <w:snapToGrid w:val="0"/>
              <w:spacing w:line="360" w:lineRule="auto"/>
              <w:ind w:left="0" w:right="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附技术参数说明</w:t>
            </w:r>
            <w:r>
              <w:rPr>
                <w:rFonts w:hint="eastAsia" w:ascii="宋体" w:hAnsi="宋体" w:eastAsia="宋体" w:cs="宋体"/>
                <w:color w:val="auto"/>
                <w:sz w:val="24"/>
                <w:szCs w:val="24"/>
                <w:highlight w:val="none"/>
                <w:lang w:val="en-US" w:eastAsia="zh-CN"/>
              </w:rPr>
              <w:t xml:space="preserve"> </w:t>
            </w:r>
          </w:p>
        </w:tc>
        <w:tc>
          <w:tcPr>
            <w:tcW w:w="7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480"/>
                <w:tab w:val="left" w:pos="3431"/>
              </w:tabs>
              <w:kinsoku/>
              <w:wordWrap/>
              <w:overflowPunct/>
              <w:topLinePunct w:val="0"/>
              <w:bidi w:val="0"/>
              <w:adjustRightInd w:val="0"/>
              <w:snapToGrid w:val="0"/>
              <w:spacing w:line="360" w:lineRule="auto"/>
              <w:ind w:left="0" w:right="0"/>
              <w:jc w:val="left"/>
              <w:rPr>
                <w:rFonts w:hint="eastAsia" w:ascii="宋体" w:hAnsi="宋体" w:eastAsia="宋体" w:cs="宋体"/>
                <w:color w:val="auto"/>
                <w:sz w:val="24"/>
                <w:szCs w:val="24"/>
                <w:highlight w:val="none"/>
              </w:rPr>
            </w:pPr>
          </w:p>
        </w:tc>
      </w:tr>
    </w:tbl>
    <w:p>
      <w:pPr>
        <w:keepNext w:val="0"/>
        <w:keepLines w:val="0"/>
        <w:pageBreakBefore w:val="0"/>
        <w:tabs>
          <w:tab w:val="left" w:pos="480"/>
        </w:tabs>
        <w:kinsoku/>
        <w:wordWrap/>
        <w:overflowPunct/>
        <w:topLinePunct w:val="0"/>
        <w:bidi w:val="0"/>
        <w:adjustRightInd w:val="0"/>
        <w:snapToGrid w:val="0"/>
        <w:spacing w:line="360" w:lineRule="auto"/>
        <w:ind w:left="0" w:right="0" w:firstLine="472" w:firstLineChars="19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二、合同价款</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（一）合同总价款为人民币（大写）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（二）合同总价包括：货物费、运输费（含保险费）、安装调试费、检测验收费及其它费用。</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（三）合同总价一次性包死，不受市场价格变化因素的影响。</w:t>
      </w:r>
    </w:p>
    <w:p>
      <w:pPr>
        <w:keepNext w:val="0"/>
        <w:keepLines w:val="0"/>
        <w:pageBreakBefore w:val="0"/>
        <w:tabs>
          <w:tab w:val="left" w:pos="480"/>
        </w:tabs>
        <w:kinsoku/>
        <w:wordWrap/>
        <w:overflowPunct/>
        <w:topLinePunct w:val="0"/>
        <w:bidi w:val="0"/>
        <w:adjustRightInd w:val="0"/>
        <w:snapToGrid w:val="0"/>
        <w:spacing w:line="360" w:lineRule="auto"/>
        <w:ind w:left="0" w:right="0" w:firstLine="472" w:firstLineChars="19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三、款项结算</w:t>
      </w:r>
    </w:p>
    <w:p>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2" w:firstLineChars="200"/>
        <w:textAlignment w:val="bottom"/>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一）所有货物到达甲方指定地点，安装、调试完毕并验收合格后，收到发票10个工作日内支付合同总价款的90％；剩余10%满一年后收到发票10个工作日内支付4%货款；满两年后收到发票10个工作日内支付3%货款；满三年后收到发票10个工作日内支付3%货款。</w:t>
      </w:r>
    </w:p>
    <w:p>
      <w:pPr>
        <w:pStyle w:val="4"/>
        <w:keepNext w:val="0"/>
        <w:keepLines w:val="0"/>
        <w:pageBreakBefore w:val="0"/>
        <w:kinsoku/>
        <w:wordWrap/>
        <w:overflowPunct/>
        <w:topLinePunct w:val="0"/>
        <w:bidi w:val="0"/>
        <w:adjustRightInd w:val="0"/>
        <w:snapToGrid w:val="0"/>
        <w:spacing w:line="360" w:lineRule="auto"/>
        <w:ind w:left="0" w:right="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二</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付</w:t>
      </w:r>
      <w:r>
        <w:rPr>
          <w:rFonts w:hint="eastAsia" w:ascii="宋体" w:hAnsi="宋体" w:eastAsia="宋体" w:cs="宋体"/>
          <w:b/>
          <w:bCs/>
          <w:color w:val="auto"/>
          <w:sz w:val="24"/>
          <w:szCs w:val="24"/>
          <w:highlight w:val="none"/>
          <w:lang w:eastAsia="zh-CN"/>
        </w:rPr>
        <w:t>款</w:t>
      </w:r>
      <w:r>
        <w:rPr>
          <w:rFonts w:hint="eastAsia" w:ascii="宋体" w:hAnsi="宋体" w:eastAsia="宋体" w:cs="宋体"/>
          <w:b/>
          <w:bCs/>
          <w:color w:val="auto"/>
          <w:sz w:val="24"/>
          <w:szCs w:val="24"/>
          <w:highlight w:val="none"/>
        </w:rPr>
        <w:t>方式：</w:t>
      </w:r>
    </w:p>
    <w:p>
      <w:pPr>
        <w:keepNext w:val="0"/>
        <w:keepLines w:val="0"/>
        <w:pageBreakBefore w:val="0"/>
        <w:kinsoku/>
        <w:wordWrap/>
        <w:overflowPunct/>
        <w:topLinePunct w:val="0"/>
        <w:bidi w:val="0"/>
        <w:adjustRightInd w:val="0"/>
        <w:snapToGrid w:val="0"/>
        <w:spacing w:line="360" w:lineRule="auto"/>
        <w:ind w:left="0" w:right="0" w:firstLine="482" w:firstLineChars="200"/>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通过银行转账方式将款项转入乙方银行账户。乙方银行账户信息如下：</w:t>
      </w:r>
    </w:p>
    <w:p>
      <w:pPr>
        <w:keepNext w:val="0"/>
        <w:keepLines w:val="0"/>
        <w:pageBreakBefore w:val="0"/>
        <w:kinsoku/>
        <w:wordWrap/>
        <w:overflowPunct/>
        <w:topLinePunct w:val="0"/>
        <w:bidi w:val="0"/>
        <w:adjustRightInd w:val="0"/>
        <w:snapToGrid w:val="0"/>
        <w:spacing w:line="360" w:lineRule="auto"/>
        <w:ind w:left="0" w:right="0" w:firstLine="482" w:firstLineChars="200"/>
        <w:rPr>
          <w:rFonts w:hint="eastAsia" w:ascii="宋体" w:hAnsi="宋体" w:eastAsia="宋体" w:cs="宋体"/>
          <w:b/>
          <w:bCs/>
          <w:color w:val="auto"/>
          <w:sz w:val="24"/>
          <w:szCs w:val="24"/>
          <w:highlight w:val="none"/>
          <w:u w:val="single"/>
          <w:lang w:val="zh-CN"/>
        </w:rPr>
      </w:pPr>
      <w:r>
        <w:rPr>
          <w:rFonts w:hint="eastAsia" w:ascii="宋体" w:hAnsi="宋体" w:eastAsia="宋体" w:cs="宋体"/>
          <w:b/>
          <w:bCs/>
          <w:color w:val="auto"/>
          <w:sz w:val="24"/>
          <w:szCs w:val="24"/>
          <w:highlight w:val="none"/>
          <w:lang w:val="zh-CN"/>
        </w:rPr>
        <w:t>账户全称：</w:t>
      </w:r>
      <w:r>
        <w:rPr>
          <w:rFonts w:hint="eastAsia" w:ascii="宋体" w:hAnsi="宋体" w:eastAsia="宋体" w:cs="宋体"/>
          <w:b/>
          <w:bCs/>
          <w:color w:val="auto"/>
          <w:sz w:val="24"/>
          <w:szCs w:val="24"/>
          <w:highlight w:val="none"/>
          <w:u w:val="single"/>
          <w:lang w:val="zh-CN"/>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u w:val="single"/>
          <w:lang w:val="zh-CN"/>
        </w:rPr>
        <w:t xml:space="preserve"> </w:t>
      </w:r>
    </w:p>
    <w:p>
      <w:pPr>
        <w:keepNext w:val="0"/>
        <w:keepLines w:val="0"/>
        <w:pageBreakBefore w:val="0"/>
        <w:kinsoku/>
        <w:wordWrap/>
        <w:overflowPunct/>
        <w:topLinePunct w:val="0"/>
        <w:bidi w:val="0"/>
        <w:adjustRightInd w:val="0"/>
        <w:snapToGrid w:val="0"/>
        <w:spacing w:line="360" w:lineRule="auto"/>
        <w:ind w:left="0" w:right="0" w:firstLine="482" w:firstLineChars="200"/>
        <w:rPr>
          <w:rFonts w:hint="eastAsia" w:ascii="宋体" w:hAnsi="宋体" w:eastAsia="宋体" w:cs="宋体"/>
          <w:b/>
          <w:bCs/>
          <w:color w:val="auto"/>
          <w:sz w:val="24"/>
          <w:szCs w:val="24"/>
          <w:highlight w:val="none"/>
          <w:u w:val="single"/>
          <w:lang w:val="en-US" w:eastAsia="zh-CN"/>
        </w:rPr>
      </w:pPr>
      <w:r>
        <w:rPr>
          <w:rFonts w:hint="eastAsia" w:ascii="宋体" w:hAnsi="宋体" w:eastAsia="宋体" w:cs="宋体"/>
          <w:b/>
          <w:bCs/>
          <w:color w:val="auto"/>
          <w:sz w:val="24"/>
          <w:szCs w:val="24"/>
          <w:highlight w:val="none"/>
          <w:lang w:val="zh-CN"/>
        </w:rPr>
        <w:t>账    号：</w:t>
      </w:r>
      <w:r>
        <w:rPr>
          <w:rFonts w:hint="eastAsia" w:ascii="宋体" w:hAnsi="宋体" w:eastAsia="宋体" w:cs="宋体"/>
          <w:b/>
          <w:bCs/>
          <w:color w:val="auto"/>
          <w:sz w:val="24"/>
          <w:szCs w:val="24"/>
          <w:highlight w:val="none"/>
          <w:u w:val="single"/>
          <w:lang w:val="en-US" w:eastAsia="zh-CN"/>
        </w:rPr>
        <w:t xml:space="preserve">                            </w:t>
      </w:r>
    </w:p>
    <w:p>
      <w:pPr>
        <w:keepNext w:val="0"/>
        <w:keepLines w:val="0"/>
        <w:pageBreakBefore w:val="0"/>
        <w:kinsoku/>
        <w:wordWrap/>
        <w:overflowPunct/>
        <w:topLinePunct w:val="0"/>
        <w:bidi w:val="0"/>
        <w:adjustRightInd w:val="0"/>
        <w:snapToGrid w:val="0"/>
        <w:spacing w:line="360" w:lineRule="auto"/>
        <w:ind w:left="0" w:right="0" w:firstLine="482" w:firstLineChars="200"/>
        <w:rPr>
          <w:rFonts w:hint="eastAsia" w:ascii="宋体" w:hAnsi="宋体" w:eastAsia="宋体" w:cs="宋体"/>
          <w:b/>
          <w:bCs/>
          <w:color w:val="auto"/>
          <w:sz w:val="24"/>
          <w:szCs w:val="24"/>
          <w:highlight w:val="none"/>
          <w:u w:val="single"/>
          <w:lang w:val="zh-CN"/>
        </w:rPr>
      </w:pPr>
      <w:r>
        <w:rPr>
          <w:rFonts w:hint="eastAsia" w:ascii="宋体" w:hAnsi="宋体" w:eastAsia="宋体" w:cs="宋体"/>
          <w:b/>
          <w:bCs/>
          <w:color w:val="auto"/>
          <w:sz w:val="24"/>
          <w:szCs w:val="24"/>
          <w:highlight w:val="none"/>
          <w:lang w:val="zh-CN"/>
        </w:rPr>
        <w:t>开 户 行：</w:t>
      </w:r>
      <w:r>
        <w:rPr>
          <w:rFonts w:hint="eastAsia" w:ascii="宋体" w:hAnsi="宋体" w:eastAsia="宋体" w:cs="宋体"/>
          <w:b/>
          <w:bCs/>
          <w:color w:val="auto"/>
          <w:sz w:val="24"/>
          <w:szCs w:val="24"/>
          <w:highlight w:val="none"/>
          <w:u w:val="single"/>
          <w:lang w:val="zh-CN"/>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u w:val="single"/>
          <w:lang w:val="zh-CN"/>
        </w:rPr>
        <w:t xml:space="preserve">       </w:t>
      </w:r>
    </w:p>
    <w:p>
      <w:pPr>
        <w:keepNext w:val="0"/>
        <w:keepLines w:val="0"/>
        <w:pageBreakBefore w:val="0"/>
        <w:kinsoku/>
        <w:wordWrap/>
        <w:overflowPunct/>
        <w:topLinePunct w:val="0"/>
        <w:bidi w:val="0"/>
        <w:adjustRightInd w:val="0"/>
        <w:snapToGrid w:val="0"/>
        <w:spacing w:line="360" w:lineRule="auto"/>
        <w:ind w:left="0" w:right="0"/>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 xml:space="preserve">  </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u w:val="single"/>
          <w:lang w:val="zh-CN"/>
        </w:rPr>
        <w:t>甲方仅认可上述指定账户并向该账户付款。否则甲方有权拒绝向指定账户之外的任何账户付款，并且由此导致的付款延迟责任由乙方承担。</w:t>
      </w:r>
    </w:p>
    <w:p>
      <w:pPr>
        <w:pStyle w:val="4"/>
        <w:keepNext w:val="0"/>
        <w:keepLines w:val="0"/>
        <w:pageBreakBefore w:val="0"/>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方要如实开具发票，不得变更开票内容，乙方开具发票出现税务争议时，乙方需承担税款、滞纳金、罚款等赔偿责任以及其他相关责任。</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rPr>
        <w:t>）结算方式：验收合格后填写</w:t>
      </w:r>
      <w:r>
        <w:rPr>
          <w:rFonts w:hint="eastAsia" w:ascii="宋体" w:hAnsi="宋体" w:eastAsia="宋体" w:cs="宋体"/>
          <w:color w:val="auto"/>
          <w:sz w:val="24"/>
          <w:szCs w:val="24"/>
          <w:highlight w:val="none"/>
          <w:lang w:eastAsia="zh-CN"/>
        </w:rPr>
        <w:t>西安市第五医院设备</w:t>
      </w:r>
      <w:r>
        <w:rPr>
          <w:rFonts w:hint="eastAsia" w:ascii="宋体" w:hAnsi="宋体" w:eastAsia="宋体" w:cs="宋体"/>
          <w:bCs/>
          <w:color w:val="auto"/>
          <w:sz w:val="24"/>
          <w:szCs w:val="24"/>
          <w:highlight w:val="none"/>
        </w:rPr>
        <w:t>验收单（一式</w:t>
      </w:r>
      <w:r>
        <w:rPr>
          <w:rFonts w:hint="eastAsia" w:ascii="宋体" w:hAnsi="宋体" w:eastAsia="宋体" w:cs="宋体"/>
          <w:bCs/>
          <w:color w:val="auto"/>
          <w:sz w:val="24"/>
          <w:szCs w:val="24"/>
          <w:highlight w:val="none"/>
          <w:lang w:eastAsia="zh-CN"/>
        </w:rPr>
        <w:t>两</w:t>
      </w:r>
      <w:r>
        <w:rPr>
          <w:rFonts w:hint="eastAsia" w:ascii="宋体" w:hAnsi="宋体" w:eastAsia="宋体" w:cs="宋体"/>
          <w:bCs/>
          <w:color w:val="auto"/>
          <w:sz w:val="24"/>
          <w:szCs w:val="24"/>
          <w:highlight w:val="none"/>
        </w:rPr>
        <w:t>份）, 发票（按合同总价直开甲方），持中标通知书、</w:t>
      </w:r>
      <w:r>
        <w:rPr>
          <w:rFonts w:hint="eastAsia" w:ascii="宋体" w:hAnsi="宋体" w:eastAsia="宋体" w:cs="宋体"/>
          <w:bCs/>
          <w:color w:val="auto"/>
          <w:sz w:val="24"/>
          <w:szCs w:val="24"/>
          <w:highlight w:val="none"/>
          <w:lang w:val="en-US" w:eastAsia="zh-CN"/>
        </w:rPr>
        <w:t>买卖</w:t>
      </w:r>
      <w:r>
        <w:rPr>
          <w:rFonts w:hint="eastAsia" w:ascii="宋体" w:hAnsi="宋体" w:eastAsia="宋体" w:cs="宋体"/>
          <w:bCs/>
          <w:color w:val="auto"/>
          <w:sz w:val="24"/>
          <w:szCs w:val="24"/>
          <w:highlight w:val="none"/>
        </w:rPr>
        <w:t>合同、发票及其复印件、项目验收单，到甲方办理资金结算。</w:t>
      </w:r>
    </w:p>
    <w:p>
      <w:pPr>
        <w:keepNext w:val="0"/>
        <w:keepLines w:val="0"/>
        <w:pageBreakBefore w:val="0"/>
        <w:tabs>
          <w:tab w:val="left" w:pos="480"/>
        </w:tabs>
        <w:kinsoku/>
        <w:wordWrap/>
        <w:overflowPunct/>
        <w:topLinePunct w:val="0"/>
        <w:bidi w:val="0"/>
        <w:adjustRightInd w:val="0"/>
        <w:snapToGrid w:val="0"/>
        <w:spacing w:line="360" w:lineRule="auto"/>
        <w:ind w:left="0" w:right="0" w:firstLine="482" w:firstLineChars="200"/>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rPr>
        <w:t>四、双方的权利和义务</w:t>
      </w:r>
    </w:p>
    <w:p>
      <w:pPr>
        <w:keepNext w:val="0"/>
        <w:keepLines w:val="0"/>
        <w:pageBreakBefore w:val="0"/>
        <w:kinsoku/>
        <w:wordWrap/>
        <w:overflowPunct/>
        <w:topLinePunct w:val="0"/>
        <w:bidi w:val="0"/>
        <w:adjustRightInd w:val="0"/>
        <w:snapToGrid w:val="0"/>
        <w:spacing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（一）甲方的权利和义务</w:t>
      </w:r>
    </w:p>
    <w:p>
      <w:pPr>
        <w:keepNext w:val="0"/>
        <w:keepLines w:val="0"/>
        <w:pageBreakBefore w:val="0"/>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甲方权利：组织使用单位严格按照招标文件及投标文件要求和标准验收货物。</w:t>
      </w:r>
    </w:p>
    <w:p>
      <w:pPr>
        <w:keepNext w:val="0"/>
        <w:keepLines w:val="0"/>
        <w:pageBreakBefore w:val="0"/>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甲方义务：积极配合乙方验收、安装、调试工作。</w:t>
      </w:r>
    </w:p>
    <w:p>
      <w:pPr>
        <w:keepNext w:val="0"/>
        <w:keepLines w:val="0"/>
        <w:pageBreakBefore w:val="0"/>
        <w:kinsoku/>
        <w:wordWrap/>
        <w:overflowPunct/>
        <w:topLinePunct w:val="0"/>
        <w:bidi w:val="0"/>
        <w:adjustRightInd w:val="0"/>
        <w:snapToGrid w:val="0"/>
        <w:spacing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（二）乙方的权利和义务</w:t>
      </w:r>
    </w:p>
    <w:p>
      <w:pPr>
        <w:keepNext w:val="0"/>
        <w:keepLines w:val="0"/>
        <w:pageBreakBefore w:val="0"/>
        <w:kinsoku/>
        <w:wordWrap/>
        <w:overflowPunct/>
        <w:topLinePunct w:val="0"/>
        <w:bidi w:val="0"/>
        <w:adjustRightInd w:val="0"/>
        <w:snapToGrid w:val="0"/>
        <w:spacing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乙方权利：按照合同约定要求甲方及时付款。</w:t>
      </w:r>
    </w:p>
    <w:p>
      <w:pPr>
        <w:keepNext w:val="0"/>
        <w:keepLines w:val="0"/>
        <w:pageBreakBefore w:val="0"/>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乙方义务：按照合同约定时间，按甲方指定地点提供货物，配合验收工作，并负责安装、调试、提供现场技术培训，保证使用人员正常操作设备的各种功能。</w:t>
      </w:r>
    </w:p>
    <w:p>
      <w:pPr>
        <w:keepNext w:val="0"/>
        <w:keepLines w:val="0"/>
        <w:pageBreakBefore w:val="0"/>
        <w:tabs>
          <w:tab w:val="left" w:pos="480"/>
        </w:tabs>
        <w:kinsoku/>
        <w:wordWrap/>
        <w:overflowPunct/>
        <w:topLinePunct w:val="0"/>
        <w:bidi w:val="0"/>
        <w:adjustRightInd w:val="0"/>
        <w:snapToGrid w:val="0"/>
        <w:spacing w:line="360" w:lineRule="auto"/>
        <w:ind w:left="0" w:right="0" w:firstLine="472" w:firstLineChars="196"/>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五、交货条件：</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（一）交货地点：甲方指定地点。</w:t>
      </w:r>
    </w:p>
    <w:p>
      <w:pPr>
        <w:keepNext w:val="0"/>
        <w:keepLines w:val="0"/>
        <w:pageBreakBefore w:val="0"/>
        <w:widowControl w:val="0"/>
        <w:suppressLineNumbers w:val="0"/>
        <w:tabs>
          <w:tab w:val="left" w:pos="480"/>
        </w:tabs>
        <w:kinsoku/>
        <w:wordWrap/>
        <w:overflowPunct/>
        <w:topLinePunct w:val="0"/>
        <w:bidi w:val="0"/>
        <w:adjustRightInd w:val="0"/>
        <w:snapToGrid w:val="0"/>
        <w:spacing w:beforeAutospacing="0" w:after="0" w:afterAutospacing="0" w:line="360" w:lineRule="auto"/>
        <w:ind w:left="0" w:right="0" w:firstLine="480" w:firstLineChars="200"/>
        <w:jc w:val="both"/>
        <w:rPr>
          <w:rFonts w:hint="eastAsia" w:ascii="宋体" w:hAnsi="宋体" w:eastAsia="宋体" w:cs="宋体"/>
          <w:b/>
          <w:bCs/>
          <w:color w:val="auto"/>
          <w:sz w:val="24"/>
          <w:szCs w:val="24"/>
          <w:highlight w:val="none"/>
          <w:lang w:val="en-US"/>
        </w:rPr>
      </w:pPr>
      <w:r>
        <w:rPr>
          <w:rFonts w:hint="eastAsia" w:ascii="宋体" w:hAnsi="宋体" w:eastAsia="宋体" w:cs="宋体"/>
          <w:color w:val="auto"/>
          <w:sz w:val="24"/>
          <w:szCs w:val="24"/>
          <w:highlight w:val="none"/>
        </w:rPr>
        <w:t>（二）交货期</w:t>
      </w:r>
      <w:r>
        <w:rPr>
          <w:rFonts w:hint="eastAsia" w:ascii="宋体" w:hAnsi="宋体" w:eastAsia="宋体" w:cs="宋体"/>
          <w:b/>
          <w:bCs/>
          <w:color w:val="auto"/>
          <w:sz w:val="24"/>
          <w:szCs w:val="24"/>
          <w:highlight w:val="none"/>
        </w:rPr>
        <w:t>：自合同签订之日起</w:t>
      </w:r>
      <w:r>
        <w:rPr>
          <w:rFonts w:hint="eastAsia" w:ascii="宋体" w:hAnsi="宋体" w:eastAsia="宋体" w:cs="宋体"/>
          <w:b/>
          <w:bCs/>
          <w:color w:val="auto"/>
          <w:sz w:val="24"/>
          <w:szCs w:val="24"/>
          <w:highlight w:val="none"/>
          <w:lang w:val="en-US" w:eastAsia="zh-CN"/>
        </w:rPr>
        <w:t>,乙方接到甲方通知后</w:t>
      </w:r>
      <w:r>
        <w:rPr>
          <w:rFonts w:hint="eastAsia" w:ascii="宋体" w:hAnsi="宋体" w:eastAsia="宋体" w:cs="宋体"/>
          <w:b/>
          <w:bCs/>
          <w:color w:val="auto"/>
          <w:sz w:val="24"/>
          <w:szCs w:val="24"/>
          <w:highlight w:val="none"/>
          <w:lang w:eastAsia="zh-CN"/>
        </w:rPr>
        <w:t>国产</w:t>
      </w:r>
      <w:r>
        <w:rPr>
          <w:rFonts w:hint="eastAsia" w:ascii="宋体" w:hAnsi="宋体" w:eastAsia="宋体" w:cs="宋体"/>
          <w:b/>
          <w:bCs/>
          <w:color w:val="auto"/>
          <w:sz w:val="24"/>
          <w:szCs w:val="24"/>
          <w:highlight w:val="none"/>
          <w:lang w:val="en-US" w:eastAsia="zh-CN"/>
        </w:rPr>
        <w:t>产品5</w:t>
      </w:r>
      <w:r>
        <w:rPr>
          <w:rFonts w:hint="eastAsia" w:ascii="宋体" w:hAnsi="宋体" w:eastAsia="宋体" w:cs="宋体"/>
          <w:b/>
          <w:bCs/>
          <w:color w:val="auto"/>
          <w:sz w:val="24"/>
          <w:szCs w:val="24"/>
          <w:highlight w:val="none"/>
        </w:rPr>
        <w:t>个</w:t>
      </w:r>
      <w:r>
        <w:rPr>
          <w:rFonts w:hint="eastAsia" w:ascii="宋体" w:hAnsi="宋体" w:eastAsia="宋体" w:cs="宋体"/>
          <w:b/>
          <w:bCs/>
          <w:color w:val="auto"/>
          <w:sz w:val="24"/>
          <w:szCs w:val="24"/>
          <w:highlight w:val="none"/>
          <w:lang w:eastAsia="zh-CN"/>
        </w:rPr>
        <w:t>工作</w:t>
      </w:r>
      <w:r>
        <w:rPr>
          <w:rFonts w:hint="eastAsia" w:ascii="宋体" w:hAnsi="宋体" w:eastAsia="宋体" w:cs="宋体"/>
          <w:b/>
          <w:bCs/>
          <w:color w:val="auto"/>
          <w:sz w:val="24"/>
          <w:szCs w:val="24"/>
          <w:highlight w:val="none"/>
        </w:rPr>
        <w:t>日完成货物的安装、调试并正常运行。</w:t>
      </w:r>
    </w:p>
    <w:p>
      <w:pPr>
        <w:keepNext w:val="0"/>
        <w:keepLines w:val="0"/>
        <w:pageBreakBefore w:val="0"/>
        <w:tabs>
          <w:tab w:val="left" w:pos="480"/>
        </w:tabs>
        <w:kinsoku/>
        <w:wordWrap/>
        <w:overflowPunct/>
        <w:topLinePunct w:val="0"/>
        <w:bidi w:val="0"/>
        <w:adjustRightInd w:val="0"/>
        <w:snapToGrid w:val="0"/>
        <w:spacing w:line="360" w:lineRule="auto"/>
        <w:ind w:left="0" w:right="0" w:firstLine="472" w:firstLineChars="19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六、运输</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（一）运输由乙方负责，运杂费已包含在合同总价内，包括从货物供应地点所含的运输费、装卸费、仓储费、保险费等。</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（二）运输方式由乙方自行选择，但必须保证按期交货。</w:t>
      </w:r>
    </w:p>
    <w:p>
      <w:pPr>
        <w:keepNext w:val="0"/>
        <w:keepLines w:val="0"/>
        <w:pageBreakBefore w:val="0"/>
        <w:tabs>
          <w:tab w:val="left" w:pos="480"/>
        </w:tabs>
        <w:kinsoku/>
        <w:wordWrap/>
        <w:overflowPunct/>
        <w:topLinePunct w:val="0"/>
        <w:bidi w:val="0"/>
        <w:adjustRightInd w:val="0"/>
        <w:snapToGrid w:val="0"/>
        <w:spacing w:line="360" w:lineRule="auto"/>
        <w:ind w:left="0" w:right="0" w:firstLine="472" w:firstLineChars="19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七、质量保证</w:t>
      </w:r>
    </w:p>
    <w:p>
      <w:pPr>
        <w:keepNext w:val="0"/>
        <w:keepLines w:val="0"/>
        <w:pageBreakBefore w:val="0"/>
        <w:tabs>
          <w:tab w:val="left" w:pos="480"/>
        </w:tabs>
        <w:kinsoku/>
        <w:wordWrap/>
        <w:overflowPunct/>
        <w:topLinePunct w:val="0"/>
        <w:bidi w:val="0"/>
        <w:adjustRightInd w:val="0"/>
        <w:snapToGrid w:val="0"/>
        <w:spacing w:line="360" w:lineRule="auto"/>
        <w:ind w:left="0" w:right="0" w:firstLine="470" w:firstLineChars="19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乙方所供货物必须执行下列条款：</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（一）保证技术指标先进、质量性能可靠、进货渠道正常，配置合理，全面满足谈判要求。</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（二）符合国家有关规范要求，确保达到最佳运行状态。</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（三）具有良好的外观，适合安装场所的使用。</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（四）自安装、调试正常运行并验收合格之日起：</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免费整机保修三年（含第三方设备），终身维护，免费保修期内，同一主要部件出现质量问题经过两次维修后仍无法正常使用，可以更换同型号、同规格的产品，服务响应时间不超过2小时，解决问题不超过4小时，对超过4小时，问题较大短期内暂不能解决的，为不影响甲方正常工作，乙方在2日内免费提供替代产品，确保正常运行；</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2、30天内，如出现质量问题，可以选择换货或退货；</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3、30至60天内，如出现质量问题，可选择换货。</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设备因产品质量或设计缺陷等问题，而发生的医疗差错或医疗纠纷而引起的经济责任及法律责任由乙方及生产厂商负全部责任，如果造成损失，由乙方赔偿甲方的全部损失包括直接损失和间接损失。包括给第三人（病人）造成人身损害、财产损失及其医院支出的相关费用等），如在质保期内，甲方可以从</w:t>
      </w:r>
      <w:r>
        <w:rPr>
          <w:rFonts w:hint="eastAsia" w:ascii="宋体" w:hAnsi="宋体" w:eastAsia="宋体" w:cs="宋体"/>
          <w:color w:val="auto"/>
          <w:sz w:val="24"/>
          <w:szCs w:val="24"/>
          <w:highlight w:val="none"/>
          <w:lang w:val="en-US" w:eastAsia="zh-CN"/>
        </w:rPr>
        <w:t>未付款项</w:t>
      </w:r>
      <w:r>
        <w:rPr>
          <w:rFonts w:hint="eastAsia" w:ascii="宋体" w:hAnsi="宋体" w:eastAsia="宋体" w:cs="宋体"/>
          <w:color w:val="auto"/>
          <w:sz w:val="24"/>
          <w:szCs w:val="24"/>
          <w:highlight w:val="none"/>
        </w:rPr>
        <w:t>中直接扣除。</w:t>
      </w:r>
    </w:p>
    <w:p>
      <w:pPr>
        <w:pStyle w:val="12"/>
        <w:keepNext w:val="0"/>
        <w:keepLines w:val="0"/>
        <w:pageBreakBefore w:val="0"/>
        <w:widowControl w:val="0"/>
        <w:kinsoku/>
        <w:wordWrap/>
        <w:overflowPunct/>
        <w:topLinePunct w:val="0"/>
        <w:autoSpaceDE w:val="0"/>
        <w:autoSpaceDN w:val="0"/>
        <w:bidi w:val="0"/>
        <w:adjustRightInd w:val="0"/>
        <w:snapToGrid w:val="0"/>
        <w:spacing w:before="0" w:after="0" w:line="360" w:lineRule="auto"/>
        <w:ind w:left="0" w:right="0"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五</w:t>
      </w:r>
      <w:r>
        <w:rPr>
          <w:rFonts w:hint="eastAsia" w:ascii="宋体" w:hAnsi="宋体" w:eastAsia="宋体" w:cs="宋体"/>
          <w:color w:val="auto"/>
          <w:sz w:val="24"/>
          <w:szCs w:val="24"/>
          <w:highlight w:val="none"/>
          <w:lang w:eastAsia="zh-CN"/>
        </w:rPr>
        <w:t>）施工中所有的安全责任事故及造成的经济损失由乙方承担。</w:t>
      </w:r>
    </w:p>
    <w:p>
      <w:pPr>
        <w:keepNext w:val="0"/>
        <w:keepLines w:val="0"/>
        <w:pageBreakBefore w:val="0"/>
        <w:kinsoku/>
        <w:wordWrap/>
        <w:overflowPunct/>
        <w:topLinePunct w:val="0"/>
        <w:bidi w:val="0"/>
        <w:adjustRightInd w:val="0"/>
        <w:snapToGrid w:val="0"/>
        <w:spacing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八、售后服务</w:t>
      </w:r>
    </w:p>
    <w:p>
      <w:pPr>
        <w:keepNext w:val="0"/>
        <w:keepLines w:val="0"/>
        <w:pageBreakBefore w:val="0"/>
        <w:kinsoku/>
        <w:wordWrap/>
        <w:overflowPunct/>
        <w:topLinePunct w:val="0"/>
        <w:bidi w:val="0"/>
        <w:adjustRightInd w:val="0"/>
        <w:snapToGrid w:val="0"/>
        <w:spacing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乙方所供货物提供以下售后服务：</w:t>
      </w:r>
    </w:p>
    <w:p>
      <w:pPr>
        <w:keepNext w:val="0"/>
        <w:keepLines w:val="0"/>
        <w:pageBreakBefore w:val="0"/>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（一）质保期内：</w:t>
      </w:r>
    </w:p>
    <w:p>
      <w:pPr>
        <w:keepNext w:val="0"/>
        <w:keepLines w:val="0"/>
        <w:pageBreakBefore w:val="0"/>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1、发生质量问题，接到甲方通知后，应于当日派出专业的维修人员到现场进行检测维修，发生              的全部费用由乙方承担，若需送回生产厂，乙方承担往返费用；</w:t>
      </w:r>
    </w:p>
    <w:p>
      <w:pPr>
        <w:keepNext w:val="0"/>
        <w:keepLines w:val="0"/>
        <w:pageBreakBefore w:val="0"/>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2、定期派技术人员到现场走访，给予检查维护；</w:t>
      </w:r>
    </w:p>
    <w:p>
      <w:pPr>
        <w:keepNext w:val="0"/>
        <w:keepLines w:val="0"/>
        <w:pageBreakBefore w:val="0"/>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3、排除故障的期限不得超过24小时。否则甲方有权指定第三方维修，维修费用由乙方承担。</w:t>
      </w:r>
    </w:p>
    <w:p>
      <w:pPr>
        <w:pStyle w:val="4"/>
        <w:keepNext w:val="0"/>
        <w:keepLines w:val="0"/>
        <w:pageBreakBefore w:val="0"/>
        <w:kinsoku/>
        <w:wordWrap/>
        <w:overflowPunct/>
        <w:topLinePunct w:val="0"/>
        <w:bidi w:val="0"/>
        <w:adjustRightInd w:val="0"/>
        <w:snapToGrid w:val="0"/>
        <w:spacing w:line="360" w:lineRule="auto"/>
        <w:ind w:left="0" w:right="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4、质保期从货物验收合格之日起计算质保期。</w:t>
      </w:r>
    </w:p>
    <w:p>
      <w:pPr>
        <w:keepNext w:val="0"/>
        <w:keepLines w:val="0"/>
        <w:pageBreakBefore w:val="0"/>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（二）质保期结束前，进行系统测试，全面保养维护，确保正常运行。</w:t>
      </w:r>
    </w:p>
    <w:p>
      <w:pPr>
        <w:keepNext w:val="0"/>
        <w:keepLines w:val="0"/>
        <w:pageBreakBefore w:val="0"/>
        <w:tabs>
          <w:tab w:val="left" w:pos="480"/>
        </w:tabs>
        <w:kinsoku/>
        <w:wordWrap/>
        <w:overflowPunct/>
        <w:topLinePunct w:val="0"/>
        <w:bidi w:val="0"/>
        <w:adjustRightInd w:val="0"/>
        <w:snapToGrid w:val="0"/>
        <w:spacing w:line="360" w:lineRule="auto"/>
        <w:ind w:left="0" w:right="0" w:firstLine="472" w:firstLineChars="19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九、技术与服务</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（一）技术资料包括：</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1、货物合格证；</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2、货物使用说明书（中文）；</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3、项目峻工资料、检验测试报告；</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4、其它资料。</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（二）服务承诺：以</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、澄清表（函）、合同和随货物的相关文件为准。</w:t>
      </w:r>
    </w:p>
    <w:p>
      <w:pPr>
        <w:keepNext w:val="0"/>
        <w:keepLines w:val="0"/>
        <w:pageBreakBefore w:val="0"/>
        <w:tabs>
          <w:tab w:val="left" w:pos="480"/>
        </w:tabs>
        <w:kinsoku/>
        <w:wordWrap/>
        <w:overflowPunct/>
        <w:topLinePunct w:val="0"/>
        <w:bidi w:val="0"/>
        <w:adjustRightInd w:val="0"/>
        <w:snapToGrid w:val="0"/>
        <w:spacing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十、验收</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（一）货物到达甲方指定地点后，甲方根据合同要求，进行外观验收，确认产地、规格、型号和数量。</w:t>
      </w:r>
      <w:r>
        <w:rPr>
          <w:rFonts w:hint="eastAsia" w:ascii="宋体" w:hAnsi="宋体" w:eastAsia="宋体" w:cs="宋体"/>
          <w:color w:val="auto"/>
          <w:sz w:val="24"/>
          <w:szCs w:val="24"/>
          <w:highlight w:val="none"/>
          <w:lang w:val="en-US" w:eastAsia="zh-CN"/>
        </w:rPr>
        <w:t>验收不作为产品质量合格的最终依据</w:t>
      </w:r>
      <w:r>
        <w:rPr>
          <w:rFonts w:hint="eastAsia" w:ascii="宋体" w:hAnsi="宋体" w:eastAsia="宋体" w:cs="宋体"/>
          <w:color w:val="auto"/>
          <w:sz w:val="24"/>
          <w:szCs w:val="24"/>
          <w:highlight w:val="none"/>
        </w:rPr>
        <w:t>。</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（二）货物安装、调试并正常运行后，由乙方进行自检，合格后，准备验收文件，并书面通知甲方。</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（三）甲方确认乙方的自检内容后，组织乙方（必要时请有关专家）进行系统验收，验收合格后，填写</w:t>
      </w:r>
      <w:r>
        <w:rPr>
          <w:rFonts w:hint="eastAsia" w:ascii="宋体" w:hAnsi="宋体" w:eastAsia="宋体" w:cs="宋体"/>
          <w:bCs/>
          <w:color w:val="auto"/>
          <w:sz w:val="24"/>
          <w:szCs w:val="24"/>
          <w:highlight w:val="none"/>
        </w:rPr>
        <w:t>政府采购项目验收单（一式叁份）</w:t>
      </w:r>
      <w:r>
        <w:rPr>
          <w:rFonts w:hint="eastAsia" w:ascii="宋体" w:hAnsi="宋体" w:eastAsia="宋体" w:cs="宋体"/>
          <w:color w:val="auto"/>
          <w:sz w:val="24"/>
          <w:szCs w:val="24"/>
          <w:highlight w:val="none"/>
        </w:rPr>
        <w:t>作为对货物的最终认可。</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（四）乙方在验收中应向甲方提交货物安装，调试过程中的所有资料包括本合同第九条（一）项要求的资料，以便甲方日后管理和维护。</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（五）验收依据：</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1、谈判文件、</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、澄清表（函）；</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2、本合同及附件文本；</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3、国家相应的标准、规范。</w:t>
      </w:r>
    </w:p>
    <w:p>
      <w:pPr>
        <w:keepNext w:val="0"/>
        <w:keepLines w:val="0"/>
        <w:pageBreakBefore w:val="0"/>
        <w:tabs>
          <w:tab w:val="left" w:pos="480"/>
        </w:tabs>
        <w:kinsoku/>
        <w:wordWrap/>
        <w:overflowPunct/>
        <w:topLinePunct w:val="0"/>
        <w:bidi w:val="0"/>
        <w:adjustRightInd w:val="0"/>
        <w:snapToGrid w:val="0"/>
        <w:spacing w:line="360" w:lineRule="auto"/>
        <w:ind w:left="0" w:right="0" w:firstLine="472" w:firstLineChars="19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十一、违约责任</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（一）按《</w:t>
      </w:r>
      <w:r>
        <w:rPr>
          <w:rFonts w:hint="eastAsia" w:ascii="宋体" w:hAnsi="宋体" w:eastAsia="宋体" w:cs="宋体"/>
          <w:color w:val="auto"/>
          <w:sz w:val="24"/>
          <w:szCs w:val="24"/>
          <w:highlight w:val="none"/>
          <w:lang w:val="en-US" w:eastAsia="zh-CN"/>
        </w:rPr>
        <w:t>民法典</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《政府采购法》中的相关条款执行。</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（二）未按合同要求提供货物或质量不能满足谈判技术要求，乙方必须无条件更换，提高技术，完善质量，否则，甲方会同鉴证方有权终止合同，并对乙方的违约行为报监管机构进行相应的处罚。</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（三）交货期每超过一天，扣除乙方合同总价款的</w:t>
      </w:r>
      <w:r>
        <w:rPr>
          <w:rFonts w:hint="eastAsia" w:ascii="宋体" w:hAnsi="宋体" w:eastAsia="宋体" w:cs="宋体"/>
          <w:color w:val="auto"/>
          <w:sz w:val="24"/>
          <w:szCs w:val="24"/>
          <w:highlight w:val="none"/>
          <w:u w:val="single"/>
        </w:rPr>
        <w:t xml:space="preserve"> 1 </w:t>
      </w:r>
      <w:r>
        <w:rPr>
          <w:rFonts w:hint="eastAsia" w:ascii="宋体" w:hAnsi="宋体" w:eastAsia="宋体" w:cs="宋体"/>
          <w:color w:val="auto"/>
          <w:sz w:val="24"/>
          <w:szCs w:val="24"/>
          <w:highlight w:val="none"/>
        </w:rPr>
        <w:t>‰，作为违约金。</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四</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如果乙方延期交货30天以上，则本合同解除。</w:t>
      </w:r>
      <w:r>
        <w:rPr>
          <w:rFonts w:hint="eastAsia" w:ascii="宋体" w:hAnsi="宋体" w:eastAsia="宋体" w:cs="宋体"/>
          <w:b w:val="0"/>
          <w:bCs w:val="0"/>
          <w:color w:val="auto"/>
          <w:sz w:val="24"/>
          <w:szCs w:val="24"/>
          <w:highlight w:val="none"/>
          <w:lang w:val="en-US" w:eastAsia="zh-CN"/>
        </w:rPr>
        <w:t>乙方违反合同约定</w:t>
      </w:r>
      <w:r>
        <w:rPr>
          <w:rFonts w:hint="eastAsia" w:ascii="宋体" w:hAnsi="宋体" w:eastAsia="宋体" w:cs="宋体"/>
          <w:b w:val="0"/>
          <w:bCs w:val="0"/>
          <w:color w:val="auto"/>
          <w:sz w:val="24"/>
          <w:szCs w:val="24"/>
          <w:highlight w:val="none"/>
        </w:rPr>
        <w:t>需赔偿甲方总价款的30%作为违约金。</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lang w:val="en-US" w:eastAsia="zh-CN"/>
        </w:rPr>
        <w:t>五</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lang w:val="en-US" w:eastAsia="zh-CN"/>
        </w:rPr>
        <w:t>乙方货物到达甲方指定地点，一般设备五个日历日内完成安装调试及培训，大型设备十个日历日完成安装调试及培训</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每超过一天，扣除乙方合同总价款的</w:t>
      </w:r>
      <w:r>
        <w:rPr>
          <w:rFonts w:hint="eastAsia" w:ascii="宋体" w:hAnsi="宋体" w:eastAsia="宋体" w:cs="宋体"/>
          <w:b w:val="0"/>
          <w:bCs w:val="0"/>
          <w:color w:val="auto"/>
          <w:sz w:val="24"/>
          <w:szCs w:val="24"/>
          <w:highlight w:val="none"/>
          <w:u w:val="single"/>
        </w:rPr>
        <w:t xml:space="preserve">  1 </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lang w:eastAsia="zh-CN"/>
        </w:rPr>
        <w:t>作为违约金</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lang w:eastAsia="zh-CN"/>
        </w:rPr>
        <w:t>如</w:t>
      </w:r>
      <w:r>
        <w:rPr>
          <w:rFonts w:hint="eastAsia" w:ascii="宋体" w:hAnsi="宋体" w:eastAsia="宋体" w:cs="宋体"/>
          <w:b w:val="0"/>
          <w:bCs w:val="0"/>
          <w:color w:val="auto"/>
          <w:sz w:val="24"/>
          <w:szCs w:val="24"/>
          <w:highlight w:val="none"/>
          <w:lang w:val="en-US" w:eastAsia="zh-CN"/>
        </w:rPr>
        <w:t>30天内未安装调试完成货物，甲方可以解除合同，并要求乙方支付总价款的30%的违约金。</w:t>
      </w:r>
    </w:p>
    <w:p>
      <w:pPr>
        <w:pStyle w:val="4"/>
        <w:keepNext w:val="0"/>
        <w:keepLines w:val="0"/>
        <w:pageBreakBefore w:val="0"/>
        <w:kinsoku/>
        <w:wordWrap/>
        <w:overflowPunct/>
        <w:topLinePunct w:val="0"/>
        <w:bidi w:val="0"/>
        <w:adjustRightInd w:val="0"/>
        <w:snapToGrid w:val="0"/>
        <w:spacing w:line="360" w:lineRule="auto"/>
        <w:ind w:left="0" w:right="0"/>
        <w:rPr>
          <w:rFonts w:hint="eastAsia" w:ascii="宋体" w:hAnsi="宋体" w:eastAsia="宋体" w:cs="宋体"/>
          <w:color w:val="auto"/>
          <w:sz w:val="24"/>
          <w:szCs w:val="24"/>
          <w:highlight w:val="none"/>
          <w:lang w:val="en-US" w:eastAsia="zh-CN"/>
        </w:rPr>
      </w:pPr>
    </w:p>
    <w:p>
      <w:pPr>
        <w:keepNext w:val="0"/>
        <w:keepLines w:val="0"/>
        <w:pageBreakBefore w:val="0"/>
        <w:tabs>
          <w:tab w:val="left" w:pos="480"/>
        </w:tabs>
        <w:kinsoku/>
        <w:wordWrap/>
        <w:overflowPunct/>
        <w:topLinePunct w:val="0"/>
        <w:bidi w:val="0"/>
        <w:adjustRightInd w:val="0"/>
        <w:snapToGrid w:val="0"/>
        <w:spacing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十二、合同争议解决的方式</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本合同在履行过程中发生的争议，由甲、乙双方当事人协商解决，协商不成的按下列第（ 二 ）种方式解决：</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（一）提交</w:t>
      </w:r>
      <w:r>
        <w:rPr>
          <w:rFonts w:hint="eastAsia" w:ascii="宋体" w:hAnsi="宋体" w:eastAsia="宋体" w:cs="宋体"/>
          <w:color w:val="auto"/>
          <w:sz w:val="24"/>
          <w:szCs w:val="24"/>
          <w:highlight w:val="none"/>
          <w:u w:val="single"/>
        </w:rPr>
        <w:t xml:space="preserve">  西安</w:t>
      </w:r>
      <w:r>
        <w:rPr>
          <w:rFonts w:hint="eastAsia" w:ascii="宋体" w:hAnsi="宋体" w:eastAsia="宋体" w:cs="宋体"/>
          <w:color w:val="auto"/>
          <w:sz w:val="24"/>
          <w:szCs w:val="24"/>
          <w:highlight w:val="none"/>
          <w:u w:val="single"/>
          <w:vertAlign w:val="subscript"/>
        </w:rPr>
        <w:t xml:space="preserve">   </w:t>
      </w:r>
      <w:r>
        <w:rPr>
          <w:rFonts w:hint="eastAsia" w:ascii="宋体" w:hAnsi="宋体" w:eastAsia="宋体" w:cs="宋体"/>
          <w:color w:val="auto"/>
          <w:sz w:val="24"/>
          <w:szCs w:val="24"/>
          <w:highlight w:val="none"/>
        </w:rPr>
        <w:t>仲裁委员会仲裁；</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（二）依法向 </w:t>
      </w:r>
      <w:r>
        <w:rPr>
          <w:rFonts w:hint="eastAsia" w:ascii="宋体" w:hAnsi="宋体" w:eastAsia="宋体" w:cs="宋体"/>
          <w:color w:val="auto"/>
          <w:sz w:val="24"/>
          <w:szCs w:val="24"/>
          <w:highlight w:val="none"/>
          <w:u w:val="single"/>
        </w:rPr>
        <w:t xml:space="preserve"> 甲方  </w:t>
      </w:r>
      <w:r>
        <w:rPr>
          <w:rFonts w:hint="eastAsia" w:ascii="宋体" w:hAnsi="宋体" w:eastAsia="宋体" w:cs="宋体"/>
          <w:color w:val="auto"/>
          <w:sz w:val="24"/>
          <w:szCs w:val="24"/>
          <w:highlight w:val="none"/>
        </w:rPr>
        <w:t>所在地人民法院起诉。</w:t>
      </w:r>
    </w:p>
    <w:p>
      <w:pPr>
        <w:keepNext w:val="0"/>
        <w:keepLines w:val="0"/>
        <w:pageBreakBefore w:val="0"/>
        <w:tabs>
          <w:tab w:val="left" w:pos="480"/>
        </w:tabs>
        <w:kinsoku/>
        <w:wordWrap/>
        <w:overflowPunct/>
        <w:topLinePunct w:val="0"/>
        <w:bidi w:val="0"/>
        <w:adjustRightInd w:val="0"/>
        <w:snapToGrid w:val="0"/>
        <w:spacing w:line="360" w:lineRule="auto"/>
        <w:ind w:left="0" w:right="0" w:firstLine="472" w:firstLineChars="19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十三、合同生效</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本合同一式伍份，甲方执叁份，乙方、鉴证方各执壹份，西安市财政局政府采购管理处备案贰份，本合同甲、乙、确认各方签字盖章后生效，合同执行完毕后，自动失效（合同的服务承诺则长期有效）。</w:t>
      </w:r>
    </w:p>
    <w:p>
      <w:pPr>
        <w:keepNext w:val="0"/>
        <w:keepLines w:val="0"/>
        <w:pageBreakBefore w:val="0"/>
        <w:tabs>
          <w:tab w:val="left" w:pos="480"/>
        </w:tabs>
        <w:kinsoku/>
        <w:wordWrap/>
        <w:overflowPunct/>
        <w:topLinePunct w:val="0"/>
        <w:bidi w:val="0"/>
        <w:adjustRightInd w:val="0"/>
        <w:snapToGrid w:val="0"/>
        <w:spacing w:line="360" w:lineRule="auto"/>
        <w:ind w:left="0" w:right="0" w:firstLine="472" w:firstLineChars="19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十四、其他事项</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rPr>
        <w:t>）西安市财政局政府采购管理处在合同的履行期间以及履行期后，可以随时检查项目的执行情况，对采购内容、标准进行调查核实，并对发现的问题进行处理。</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rPr>
        <w:t>）谈判文件、</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、澄清表（函）、成交通知书、合同附件均成为合同不可分割的部分。</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rPr>
        <w:t>）合同未尽事宜，由甲、乙双方协商，作为合同补充，与原合同具有同等法律效力。</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四</w:t>
      </w:r>
      <w:r>
        <w:rPr>
          <w:rFonts w:hint="eastAsia" w:ascii="宋体" w:hAnsi="宋体" w:eastAsia="宋体" w:cs="宋体"/>
          <w:color w:val="auto"/>
          <w:sz w:val="24"/>
          <w:szCs w:val="24"/>
          <w:highlight w:val="none"/>
        </w:rPr>
        <w:t>）合同一经签订，不得擅自变更、中止或终止合同。对确需变更、调整或中止、终止合同的，应按规定履行相应的手续。</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val="0"/>
        <w:snapToGrid w:val="0"/>
        <w:spacing w:beforeAutospacing="0" w:after="0" w:afterAutospacing="0" w:line="360" w:lineRule="auto"/>
        <w:ind w:left="0" w:right="0"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（五）</w:t>
      </w: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有下列情形之一的，甲方可以解除合同：（1）因不可抗力致使不能实现合同目的；（2）在履行期限届满之前，乙方明确表示或者以自己的行为表明不履行主要债务；（3）乙方迟延履行主要债务，经催告后在合理</w:t>
      </w:r>
      <w:r>
        <w:rPr>
          <w:rFonts w:hint="eastAsia" w:ascii="宋体" w:hAnsi="宋体" w:eastAsia="宋体" w:cs="宋体"/>
          <w:i w:val="0"/>
          <w:iCs w:val="0"/>
          <w:caps w:val="0"/>
          <w:color w:val="auto"/>
          <w:spacing w:val="0"/>
          <w:kern w:val="0"/>
          <w:sz w:val="24"/>
          <w:szCs w:val="24"/>
          <w:highlight w:val="none"/>
          <w:u w:val="none"/>
          <w:shd w:val="clear" w:color="auto" w:fill="FFFFFF"/>
          <w:lang w:val="en-US" w:eastAsia="zh-CN" w:bidi="ar"/>
        </w:rPr>
        <w:fldChar w:fldCharType="begin"/>
      </w:r>
      <w:r>
        <w:rPr>
          <w:rFonts w:hint="eastAsia" w:ascii="宋体" w:hAnsi="宋体" w:eastAsia="宋体" w:cs="宋体"/>
          <w:i w:val="0"/>
          <w:iCs w:val="0"/>
          <w:caps w:val="0"/>
          <w:color w:val="auto"/>
          <w:spacing w:val="0"/>
          <w:kern w:val="0"/>
          <w:sz w:val="24"/>
          <w:szCs w:val="24"/>
          <w:highlight w:val="none"/>
          <w:u w:val="none"/>
          <w:shd w:val="clear" w:color="auto" w:fill="FFFFFF"/>
          <w:lang w:val="en-US" w:eastAsia="zh-CN" w:bidi="ar"/>
        </w:rPr>
        <w:instrText xml:space="preserve"> HYPERLINK "http://www.so.com/s?q=%E6%9C%9F%E9%99%90&amp;ie=utf-8&amp;src=internal_wenda_recommend_textn" \t "https://wenda.so.com/q/_blank" </w:instrText>
      </w:r>
      <w:r>
        <w:rPr>
          <w:rFonts w:hint="eastAsia" w:ascii="宋体" w:hAnsi="宋体" w:eastAsia="宋体" w:cs="宋体"/>
          <w:i w:val="0"/>
          <w:iCs w:val="0"/>
          <w:caps w:val="0"/>
          <w:color w:val="auto"/>
          <w:spacing w:val="0"/>
          <w:kern w:val="0"/>
          <w:sz w:val="24"/>
          <w:szCs w:val="24"/>
          <w:highlight w:val="none"/>
          <w:u w:val="none"/>
          <w:shd w:val="clear" w:color="auto" w:fill="FFFFFF"/>
          <w:lang w:val="en-US" w:eastAsia="zh-CN" w:bidi="ar"/>
        </w:rPr>
        <w:fldChar w:fldCharType="separate"/>
      </w:r>
      <w:r>
        <w:rPr>
          <w:rStyle w:val="7"/>
          <w:rFonts w:hint="eastAsia" w:ascii="宋体" w:hAnsi="宋体" w:eastAsia="宋体" w:cs="宋体"/>
          <w:i w:val="0"/>
          <w:iCs w:val="0"/>
          <w:caps w:val="0"/>
          <w:color w:val="auto"/>
          <w:spacing w:val="0"/>
          <w:sz w:val="24"/>
          <w:szCs w:val="24"/>
          <w:highlight w:val="none"/>
          <w:u w:val="none"/>
          <w:shd w:val="clear" w:color="auto" w:fill="FFFFFF"/>
        </w:rPr>
        <w:t>期限</w:t>
      </w:r>
      <w:r>
        <w:rPr>
          <w:rFonts w:hint="eastAsia" w:ascii="宋体" w:hAnsi="宋体" w:eastAsia="宋体" w:cs="宋体"/>
          <w:i w:val="0"/>
          <w:iCs w:val="0"/>
          <w:caps w:val="0"/>
          <w:color w:val="auto"/>
          <w:spacing w:val="0"/>
          <w:kern w:val="0"/>
          <w:sz w:val="24"/>
          <w:szCs w:val="24"/>
          <w:highlight w:val="none"/>
          <w:u w:val="none"/>
          <w:shd w:val="clear" w:color="auto" w:fill="FFFFFF"/>
          <w:lang w:val="en-US" w:eastAsia="zh-CN" w:bidi="ar"/>
        </w:rPr>
        <w:fldChar w:fldCharType="end"/>
      </w: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内仍未履行；（4）乙方迟延履行债务或者有其他</w:t>
      </w:r>
      <w:r>
        <w:rPr>
          <w:rFonts w:hint="eastAsia" w:ascii="宋体" w:hAnsi="宋体" w:eastAsia="宋体" w:cs="宋体"/>
          <w:i w:val="0"/>
          <w:iCs w:val="0"/>
          <w:caps w:val="0"/>
          <w:color w:val="auto"/>
          <w:spacing w:val="0"/>
          <w:kern w:val="0"/>
          <w:sz w:val="24"/>
          <w:szCs w:val="24"/>
          <w:highlight w:val="none"/>
          <w:u w:val="none"/>
          <w:shd w:val="clear" w:color="auto" w:fill="FFFFFF"/>
          <w:lang w:val="en-US" w:eastAsia="zh-CN" w:bidi="ar"/>
        </w:rPr>
        <w:fldChar w:fldCharType="begin"/>
      </w:r>
      <w:r>
        <w:rPr>
          <w:rFonts w:hint="eastAsia" w:ascii="宋体" w:hAnsi="宋体" w:eastAsia="宋体" w:cs="宋体"/>
          <w:i w:val="0"/>
          <w:iCs w:val="0"/>
          <w:caps w:val="0"/>
          <w:color w:val="auto"/>
          <w:spacing w:val="0"/>
          <w:kern w:val="0"/>
          <w:sz w:val="24"/>
          <w:szCs w:val="24"/>
          <w:highlight w:val="none"/>
          <w:u w:val="none"/>
          <w:shd w:val="clear" w:color="auto" w:fill="FFFFFF"/>
          <w:lang w:val="en-US" w:eastAsia="zh-CN" w:bidi="ar"/>
        </w:rPr>
        <w:instrText xml:space="preserve"> HYPERLINK "http://www.so.com/s?q=%E8%BF%9D%E7%BA%A6%E8%A1%8C%E4%B8%BA&amp;ie=utf-8&amp;src=internal_wenda_recommend_textn" \t "https://wenda.so.com/q/_blank" </w:instrText>
      </w:r>
      <w:r>
        <w:rPr>
          <w:rFonts w:hint="eastAsia" w:ascii="宋体" w:hAnsi="宋体" w:eastAsia="宋体" w:cs="宋体"/>
          <w:i w:val="0"/>
          <w:iCs w:val="0"/>
          <w:caps w:val="0"/>
          <w:color w:val="auto"/>
          <w:spacing w:val="0"/>
          <w:kern w:val="0"/>
          <w:sz w:val="24"/>
          <w:szCs w:val="24"/>
          <w:highlight w:val="none"/>
          <w:u w:val="none"/>
          <w:shd w:val="clear" w:color="auto" w:fill="FFFFFF"/>
          <w:lang w:val="en-US" w:eastAsia="zh-CN" w:bidi="ar"/>
        </w:rPr>
        <w:fldChar w:fldCharType="separate"/>
      </w:r>
      <w:r>
        <w:rPr>
          <w:rStyle w:val="7"/>
          <w:rFonts w:hint="eastAsia" w:ascii="宋体" w:hAnsi="宋体" w:eastAsia="宋体" w:cs="宋体"/>
          <w:i w:val="0"/>
          <w:iCs w:val="0"/>
          <w:caps w:val="0"/>
          <w:color w:val="auto"/>
          <w:spacing w:val="0"/>
          <w:sz w:val="24"/>
          <w:szCs w:val="24"/>
          <w:highlight w:val="none"/>
          <w:u w:val="none"/>
          <w:shd w:val="clear" w:color="auto" w:fill="FFFFFF"/>
        </w:rPr>
        <w:t>违约行为</w:t>
      </w:r>
      <w:r>
        <w:rPr>
          <w:rFonts w:hint="eastAsia" w:ascii="宋体" w:hAnsi="宋体" w:eastAsia="宋体" w:cs="宋体"/>
          <w:i w:val="0"/>
          <w:iCs w:val="0"/>
          <w:caps w:val="0"/>
          <w:color w:val="auto"/>
          <w:spacing w:val="0"/>
          <w:kern w:val="0"/>
          <w:sz w:val="24"/>
          <w:szCs w:val="24"/>
          <w:highlight w:val="none"/>
          <w:u w:val="none"/>
          <w:shd w:val="clear" w:color="auto" w:fill="FFFFFF"/>
          <w:lang w:val="en-US" w:eastAsia="zh-CN" w:bidi="ar"/>
        </w:rPr>
        <w:fldChar w:fldCharType="end"/>
      </w: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致使不能实现合同目的。</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六</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合同所涉及通知的形式：包含书面通知，电话，短信，微信，邮箱等由双方联系人确定。</w:t>
      </w:r>
    </w:p>
    <w:p>
      <w:pPr>
        <w:keepNext w:val="0"/>
        <w:keepLines w:val="0"/>
        <w:pageBreakBefore w:val="0"/>
        <w:tabs>
          <w:tab w:val="left" w:pos="480"/>
        </w:tabs>
        <w:kinsoku/>
        <w:wordWrap/>
        <w:overflowPunct/>
        <w:topLinePunct w:val="0"/>
        <w:bidi w:val="0"/>
        <w:adjustRightInd w:val="0"/>
        <w:snapToGrid w:val="0"/>
        <w:spacing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七</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本合同按照中华人民共和国的现行法律进行解释。</w:t>
      </w:r>
    </w:p>
    <w:p>
      <w:pPr>
        <w:keepNext w:val="0"/>
        <w:keepLines w:val="0"/>
        <w:pageBreakBefore w:val="0"/>
        <w:tabs>
          <w:tab w:val="left" w:pos="480"/>
        </w:tabs>
        <w:kinsoku/>
        <w:wordWrap/>
        <w:overflowPunct/>
        <w:topLinePunct w:val="0"/>
        <w:bidi w:val="0"/>
        <w:adjustRightInd w:val="0"/>
        <w:snapToGrid w:val="0"/>
        <w:spacing w:line="360" w:lineRule="auto"/>
        <w:ind w:left="0" w:right="0"/>
        <w:rPr>
          <w:rFonts w:hint="eastAsia" w:ascii="宋体" w:hAnsi="宋体" w:eastAsia="宋体" w:cs="宋体"/>
          <w:color w:val="auto"/>
          <w:sz w:val="24"/>
          <w:szCs w:val="24"/>
          <w:highlight w:val="none"/>
        </w:rPr>
      </w:pPr>
    </w:p>
    <w:p>
      <w:pPr>
        <w:keepNext w:val="0"/>
        <w:keepLines w:val="0"/>
        <w:pageBreakBefore w:val="0"/>
        <w:tabs>
          <w:tab w:val="left" w:pos="480"/>
        </w:tabs>
        <w:kinsoku/>
        <w:wordWrap/>
        <w:overflowPunct/>
        <w:topLinePunct w:val="0"/>
        <w:bidi w:val="0"/>
        <w:adjustRightInd w:val="0"/>
        <w:snapToGrid w:val="0"/>
        <w:spacing w:line="360" w:lineRule="auto"/>
        <w:ind w:left="0" w:right="0"/>
        <w:rPr>
          <w:rFonts w:hint="eastAsia" w:ascii="宋体" w:hAnsi="宋体" w:eastAsia="宋体" w:cs="宋体"/>
          <w:color w:val="auto"/>
          <w:sz w:val="24"/>
          <w:szCs w:val="24"/>
          <w:highlight w:val="none"/>
        </w:rPr>
      </w:pPr>
    </w:p>
    <w:p>
      <w:pPr>
        <w:keepNext w:val="0"/>
        <w:keepLines w:val="0"/>
        <w:pageBreakBefore w:val="0"/>
        <w:tabs>
          <w:tab w:val="left" w:pos="480"/>
        </w:tabs>
        <w:kinsoku/>
        <w:wordWrap/>
        <w:overflowPunct/>
        <w:topLinePunct w:val="0"/>
        <w:bidi w:val="0"/>
        <w:adjustRightInd w:val="0"/>
        <w:snapToGrid w:val="0"/>
        <w:spacing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  方（法人公章）                        乙  方（法人公章）</w:t>
      </w:r>
    </w:p>
    <w:p>
      <w:pPr>
        <w:keepNext w:val="0"/>
        <w:keepLines w:val="0"/>
        <w:pageBreakBefore w:val="0"/>
        <w:kinsoku/>
        <w:wordWrap/>
        <w:overflowPunct/>
        <w:topLinePunct w:val="0"/>
        <w:bidi w:val="0"/>
        <w:adjustRightInd w:val="0"/>
        <w:snapToGrid w:val="0"/>
        <w:spacing w:line="360" w:lineRule="auto"/>
        <w:ind w:left="0" w:right="0"/>
        <w:jc w:val="left"/>
        <w:rPr>
          <w:rFonts w:hint="eastAsia" w:ascii="宋体" w:hAnsi="宋体" w:eastAsia="宋体" w:cs="宋体"/>
          <w:color w:val="auto"/>
          <w:position w:val="20"/>
          <w:sz w:val="24"/>
          <w:szCs w:val="24"/>
          <w:highlight w:val="none"/>
          <w:lang w:val="en-US" w:eastAsia="zh-CN"/>
        </w:rPr>
      </w:pPr>
      <w:r>
        <w:rPr>
          <w:rFonts w:hint="eastAsia" w:ascii="宋体" w:hAnsi="宋体" w:eastAsia="宋体" w:cs="宋体"/>
          <w:color w:val="auto"/>
          <w:sz w:val="24"/>
          <w:szCs w:val="24"/>
          <w:highlight w:val="none"/>
        </w:rPr>
        <w:t>单位名称：西安市第五医院                  单位名称：</w:t>
      </w:r>
      <w:r>
        <w:rPr>
          <w:rFonts w:hint="eastAsia" w:ascii="宋体" w:hAnsi="宋体" w:eastAsia="宋体" w:cs="宋体"/>
          <w:color w:val="auto"/>
          <w:sz w:val="24"/>
          <w:szCs w:val="24"/>
          <w:highlight w:val="none"/>
          <w:lang w:val="en-US" w:eastAsia="zh-CN"/>
        </w:rPr>
        <w:t xml:space="preserve">  </w:t>
      </w:r>
    </w:p>
    <w:p>
      <w:pPr>
        <w:keepNext w:val="0"/>
        <w:keepLines w:val="0"/>
        <w:pageBreakBefore w:val="0"/>
        <w:kinsoku/>
        <w:wordWrap/>
        <w:overflowPunct/>
        <w:topLinePunct w:val="0"/>
        <w:bidi w:val="0"/>
        <w:adjustRightInd w:val="0"/>
        <w:snapToGrid w:val="0"/>
        <w:spacing w:line="360" w:lineRule="auto"/>
        <w:ind w:left="0" w:right="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地  址：西安市莲湖区西关正街112号        地  址：</w:t>
      </w:r>
    </w:p>
    <w:p>
      <w:pPr>
        <w:keepNext w:val="0"/>
        <w:keepLines w:val="0"/>
        <w:pageBreakBefore w:val="0"/>
        <w:tabs>
          <w:tab w:val="left" w:pos="480"/>
        </w:tabs>
        <w:kinsoku/>
        <w:wordWrap/>
        <w:overflowPunct/>
        <w:topLinePunct w:val="0"/>
        <w:bidi w:val="0"/>
        <w:adjustRightInd w:val="0"/>
        <w:snapToGrid w:val="0"/>
        <w:spacing w:line="360" w:lineRule="auto"/>
        <w:ind w:left="0" w:right="0"/>
        <w:rPr>
          <w:rFonts w:hint="eastAsia" w:ascii="宋体" w:hAnsi="宋体" w:eastAsia="宋体" w:cs="宋体"/>
          <w:color w:val="auto"/>
          <w:sz w:val="24"/>
          <w:szCs w:val="24"/>
          <w:highlight w:val="none"/>
        </w:rPr>
      </w:pPr>
    </w:p>
    <w:p>
      <w:pPr>
        <w:keepNext w:val="0"/>
        <w:keepLines w:val="0"/>
        <w:pageBreakBefore w:val="0"/>
        <w:tabs>
          <w:tab w:val="left" w:pos="480"/>
        </w:tabs>
        <w:kinsoku/>
        <w:wordWrap/>
        <w:overflowPunct/>
        <w:topLinePunct w:val="0"/>
        <w:bidi w:val="0"/>
        <w:adjustRightInd w:val="0"/>
        <w:snapToGrid w:val="0"/>
        <w:spacing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经办人：                                  经办人：                                </w:t>
      </w:r>
    </w:p>
    <w:p>
      <w:pPr>
        <w:keepNext w:val="0"/>
        <w:keepLines w:val="0"/>
        <w:pageBreakBefore w:val="0"/>
        <w:tabs>
          <w:tab w:val="left" w:pos="480"/>
        </w:tabs>
        <w:kinsoku/>
        <w:wordWrap/>
        <w:overflowPunct/>
        <w:topLinePunct w:val="0"/>
        <w:bidi w:val="0"/>
        <w:adjustRightInd w:val="0"/>
        <w:snapToGrid w:val="0"/>
        <w:spacing w:line="360" w:lineRule="auto"/>
        <w:ind w:left="0" w:right="0"/>
        <w:rPr>
          <w:rFonts w:hint="eastAsia" w:ascii="宋体" w:hAnsi="宋体" w:eastAsia="宋体" w:cs="宋体"/>
          <w:color w:val="auto"/>
          <w:sz w:val="24"/>
          <w:szCs w:val="24"/>
          <w:highlight w:val="none"/>
        </w:rPr>
      </w:pPr>
    </w:p>
    <w:p>
      <w:pPr>
        <w:keepNext w:val="0"/>
        <w:keepLines w:val="0"/>
        <w:pageBreakBefore w:val="0"/>
        <w:tabs>
          <w:tab w:val="left" w:pos="480"/>
        </w:tabs>
        <w:kinsoku/>
        <w:wordWrap/>
        <w:overflowPunct/>
        <w:topLinePunct w:val="0"/>
        <w:bidi w:val="0"/>
        <w:adjustRightInd w:val="0"/>
        <w:snapToGrid w:val="0"/>
        <w:spacing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主管院长：                                </w:t>
      </w:r>
    </w:p>
    <w:p>
      <w:pPr>
        <w:keepNext w:val="0"/>
        <w:keepLines w:val="0"/>
        <w:pageBreakBefore w:val="0"/>
        <w:tabs>
          <w:tab w:val="left" w:pos="480"/>
        </w:tabs>
        <w:kinsoku/>
        <w:wordWrap/>
        <w:overflowPunct/>
        <w:topLinePunct w:val="0"/>
        <w:bidi w:val="0"/>
        <w:adjustRightInd w:val="0"/>
        <w:snapToGrid w:val="0"/>
        <w:spacing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keepNext w:val="0"/>
        <w:keepLines w:val="0"/>
        <w:pageBreakBefore w:val="0"/>
        <w:tabs>
          <w:tab w:val="left" w:pos="480"/>
        </w:tabs>
        <w:suppressAutoHyphens/>
        <w:kinsoku/>
        <w:wordWrap/>
        <w:overflowPunct/>
        <w:topLinePunct w:val="0"/>
        <w:bidi w:val="0"/>
        <w:adjustRightInd w:val="0"/>
        <w:snapToGrid w:val="0"/>
        <w:spacing w:line="360" w:lineRule="auto"/>
        <w:ind w:left="0" w:right="0" w:hanging="5040" w:hangingChars="2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法定代表人（签字或盖章）：                 法定代表人（签字或盖章）：                                                          </w:t>
      </w:r>
    </w:p>
    <w:p>
      <w:pPr>
        <w:keepNext w:val="0"/>
        <w:keepLines w:val="0"/>
        <w:pageBreakBefore w:val="0"/>
        <w:tabs>
          <w:tab w:val="left" w:pos="480"/>
        </w:tabs>
        <w:suppressAutoHyphens/>
        <w:kinsoku/>
        <w:wordWrap/>
        <w:overflowPunct/>
        <w:topLinePunct w:val="0"/>
        <w:bidi w:val="0"/>
        <w:adjustRightInd w:val="0"/>
        <w:snapToGrid w:val="0"/>
        <w:spacing w:line="360" w:lineRule="auto"/>
        <w:ind w:left="0" w:right="0" w:firstLine="5040" w:firstLineChars="2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p>
      <w:pPr>
        <w:keepNext w:val="0"/>
        <w:keepLines w:val="0"/>
        <w:pageBreakBefore w:val="0"/>
        <w:tabs>
          <w:tab w:val="left" w:pos="480"/>
        </w:tabs>
        <w:kinsoku/>
        <w:wordWrap/>
        <w:overflowPunct/>
        <w:topLinePunct w:val="0"/>
        <w:bidi w:val="0"/>
        <w:adjustRightInd w:val="0"/>
        <w:snapToGrid w:val="0"/>
        <w:spacing w:line="360" w:lineRule="auto"/>
        <w:ind w:left="0" w:right="0" w:firstLine="5040" w:firstLineChars="2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帐  号：       </w:t>
      </w:r>
    </w:p>
    <w:p>
      <w:pPr>
        <w:keepNext w:val="0"/>
        <w:keepLines w:val="0"/>
        <w:pageBreakBefore w:val="0"/>
        <w:tabs>
          <w:tab w:val="left" w:pos="480"/>
        </w:tabs>
        <w:kinsoku/>
        <w:wordWrap/>
        <w:overflowPunct/>
        <w:topLinePunct w:val="0"/>
        <w:bidi w:val="0"/>
        <w:adjustRightInd w:val="0"/>
        <w:snapToGrid w:val="0"/>
        <w:spacing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联系电话：029-84696321                    联系电话：</w:t>
      </w:r>
    </w:p>
    <w:p>
      <w:pPr>
        <w:keepNext w:val="0"/>
        <w:keepLines w:val="0"/>
        <w:pageBreakBefore w:val="0"/>
        <w:tabs>
          <w:tab w:val="left" w:pos="480"/>
        </w:tabs>
        <w:kinsoku/>
        <w:wordWrap/>
        <w:overflowPunct/>
        <w:topLinePunct w:val="0"/>
        <w:bidi w:val="0"/>
        <w:adjustRightInd w:val="0"/>
        <w:snapToGrid w:val="0"/>
        <w:spacing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签订日期：202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年  月  日                 签订日期：202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年  月  日</w:t>
      </w:r>
    </w:p>
    <w:p>
      <w:pPr>
        <w:tabs>
          <w:tab w:val="left" w:pos="480"/>
        </w:tabs>
        <w:rPr>
          <w:rFonts w:hint="eastAsia" w:ascii="宋体" w:hAnsi="宋体" w:eastAsia="宋体" w:cs="宋体"/>
          <w:color w:val="auto"/>
          <w:szCs w:val="21"/>
          <w:highlight w:val="none"/>
        </w:rPr>
      </w:pPr>
    </w:p>
    <w:p>
      <w:pPr>
        <w:tabs>
          <w:tab w:val="left" w:pos="480"/>
        </w:tabs>
        <w:rPr>
          <w:rFonts w:hint="eastAsia" w:ascii="宋体" w:hAnsi="宋体" w:eastAsia="宋体" w:cs="宋体"/>
          <w:color w:val="auto"/>
          <w:szCs w:val="21"/>
          <w:highlight w:val="none"/>
        </w:rPr>
      </w:pPr>
    </w:p>
    <w:p>
      <w:pPr>
        <w:tabs>
          <w:tab w:val="left" w:pos="480"/>
        </w:tabs>
        <w:rPr>
          <w:rFonts w:hint="eastAsia" w:ascii="宋体" w:hAnsi="宋体" w:eastAsia="宋体" w:cs="宋体"/>
          <w:color w:val="auto"/>
          <w:szCs w:val="21"/>
          <w:highlight w:val="none"/>
        </w:rPr>
      </w:pPr>
    </w:p>
    <w:p>
      <w:pPr>
        <w:tabs>
          <w:tab w:val="left" w:pos="480"/>
        </w:tabs>
        <w:rPr>
          <w:rFonts w:hint="eastAsia" w:ascii="宋体" w:hAnsi="宋体" w:eastAsia="宋体" w:cs="宋体"/>
          <w:color w:val="auto"/>
          <w:szCs w:val="21"/>
          <w:highlight w:val="none"/>
        </w:rPr>
      </w:pPr>
    </w:p>
    <w:p>
      <w:pPr>
        <w:tabs>
          <w:tab w:val="left" w:pos="480"/>
        </w:tabs>
        <w:rPr>
          <w:rFonts w:hint="eastAsia" w:ascii="宋体" w:hAnsi="宋体" w:eastAsia="宋体" w:cs="宋体"/>
          <w:color w:val="auto"/>
          <w:szCs w:val="21"/>
          <w:highlight w:val="none"/>
        </w:rPr>
      </w:pPr>
    </w:p>
    <w:p>
      <w:pPr>
        <w:tabs>
          <w:tab w:val="left" w:pos="675"/>
        </w:tabs>
        <w:rPr>
          <w:rFonts w:hint="eastAsia" w:ascii="宋体" w:hAnsi="宋体" w:eastAsia="宋体" w:cs="宋体"/>
          <w:b/>
          <w:color w:val="auto"/>
          <w:sz w:val="32"/>
          <w:szCs w:val="32"/>
          <w:highlight w:val="none"/>
        </w:rPr>
      </w:pPr>
    </w:p>
    <w:p>
      <w:pPr>
        <w:pStyle w:val="4"/>
        <w:rPr>
          <w:rFonts w:hint="eastAsia" w:ascii="宋体" w:hAnsi="宋体" w:eastAsia="宋体" w:cs="宋体"/>
          <w:b/>
          <w:color w:val="auto"/>
          <w:sz w:val="32"/>
          <w:szCs w:val="32"/>
          <w:highlight w:val="none"/>
        </w:rPr>
      </w:pPr>
    </w:p>
    <w:p>
      <w:pPr>
        <w:pStyle w:val="4"/>
        <w:rPr>
          <w:rFonts w:hint="eastAsia" w:ascii="宋体" w:hAnsi="宋体" w:eastAsia="宋体" w:cs="宋体"/>
          <w:b/>
          <w:color w:val="auto"/>
          <w:sz w:val="32"/>
          <w:szCs w:val="32"/>
          <w:highlight w:val="none"/>
        </w:rPr>
      </w:pPr>
    </w:p>
    <w:p>
      <w:pPr>
        <w:pStyle w:val="4"/>
        <w:rPr>
          <w:rFonts w:hint="eastAsia" w:ascii="宋体" w:hAnsi="宋体" w:eastAsia="宋体" w:cs="宋体"/>
          <w:b/>
          <w:color w:val="auto"/>
          <w:sz w:val="32"/>
          <w:szCs w:val="32"/>
          <w:highlight w:val="none"/>
        </w:rPr>
      </w:pPr>
    </w:p>
    <w:p>
      <w:pPr>
        <w:pStyle w:val="4"/>
        <w:rPr>
          <w:rFonts w:hint="eastAsia" w:ascii="宋体" w:hAnsi="宋体" w:eastAsia="宋体" w:cs="宋体"/>
          <w:b/>
          <w:color w:val="auto"/>
          <w:sz w:val="32"/>
          <w:szCs w:val="32"/>
          <w:highlight w:val="none"/>
        </w:rPr>
      </w:pPr>
    </w:p>
    <w:p>
      <w:pPr>
        <w:tabs>
          <w:tab w:val="left" w:pos="675"/>
        </w:tabs>
        <w:rPr>
          <w:rFonts w:hint="eastAsia" w:ascii="宋体" w:hAnsi="宋体" w:eastAsia="宋体" w:cs="宋体"/>
          <w:b/>
          <w:color w:val="auto"/>
          <w:sz w:val="32"/>
          <w:szCs w:val="32"/>
          <w:highlight w:val="none"/>
        </w:rPr>
      </w:pPr>
    </w:p>
    <w:p>
      <w:pPr>
        <w:tabs>
          <w:tab w:val="left" w:pos="675"/>
        </w:tabs>
        <w:rPr>
          <w:rFonts w:hint="eastAsia" w:ascii="宋体" w:hAnsi="宋体" w:eastAsia="宋体" w:cs="宋体"/>
          <w:b/>
          <w:color w:val="auto"/>
          <w:sz w:val="32"/>
          <w:szCs w:val="32"/>
          <w:highlight w:val="none"/>
        </w:rPr>
      </w:pPr>
    </w:p>
    <w:p>
      <w:pPr>
        <w:tabs>
          <w:tab w:val="left" w:pos="675"/>
        </w:tabs>
        <w:rPr>
          <w:rFonts w:hint="eastAsia" w:ascii="宋体" w:hAnsi="宋体" w:eastAsia="宋体" w:cs="宋体"/>
          <w:b/>
          <w:color w:val="auto"/>
          <w:sz w:val="32"/>
          <w:szCs w:val="32"/>
          <w:highlight w:val="none"/>
        </w:rPr>
      </w:pPr>
    </w:p>
    <w:p>
      <w:pPr>
        <w:tabs>
          <w:tab w:val="left" w:pos="675"/>
        </w:tabs>
        <w:rPr>
          <w:rFonts w:hint="eastAsia" w:ascii="宋体" w:hAnsi="宋体" w:eastAsia="宋体" w:cs="宋体"/>
          <w:b/>
          <w:color w:val="auto"/>
          <w:sz w:val="32"/>
          <w:szCs w:val="32"/>
          <w:highlight w:val="none"/>
        </w:rPr>
      </w:pPr>
    </w:p>
    <w:p>
      <w:pPr>
        <w:tabs>
          <w:tab w:val="left" w:pos="675"/>
        </w:tabs>
        <w:rPr>
          <w:rFonts w:hint="eastAsia" w:ascii="宋体" w:hAnsi="宋体" w:eastAsia="宋体" w:cs="宋体"/>
          <w:b/>
          <w:color w:val="auto"/>
          <w:sz w:val="32"/>
          <w:szCs w:val="32"/>
          <w:highlight w:val="none"/>
        </w:rPr>
      </w:pPr>
    </w:p>
    <w:p>
      <w:pPr>
        <w:tabs>
          <w:tab w:val="left" w:pos="675"/>
        </w:tabs>
        <w:rPr>
          <w:rFonts w:hint="eastAsia" w:ascii="宋体" w:hAnsi="宋体" w:eastAsia="宋体" w:cs="宋体"/>
          <w:b/>
          <w:color w:val="auto"/>
          <w:sz w:val="32"/>
          <w:szCs w:val="32"/>
          <w:highlight w:val="none"/>
        </w:rPr>
      </w:pPr>
    </w:p>
    <w:p>
      <w:pPr>
        <w:tabs>
          <w:tab w:val="left" w:pos="675"/>
        </w:tabs>
        <w:rPr>
          <w:rFonts w:hint="eastAsia" w:ascii="宋体" w:hAnsi="宋体" w:eastAsia="宋体" w:cs="宋体"/>
          <w:b/>
          <w:color w:val="auto"/>
          <w:sz w:val="32"/>
          <w:szCs w:val="32"/>
          <w:highlight w:val="none"/>
        </w:rPr>
      </w:pPr>
    </w:p>
    <w:p>
      <w:pPr>
        <w:tabs>
          <w:tab w:val="left" w:pos="675"/>
        </w:tabs>
        <w:rPr>
          <w:rFonts w:hint="eastAsia" w:ascii="宋体" w:hAnsi="宋体" w:eastAsia="宋体" w:cs="宋体"/>
          <w:b/>
          <w:color w:val="auto"/>
          <w:sz w:val="32"/>
          <w:szCs w:val="32"/>
          <w:highlight w:val="none"/>
        </w:rPr>
      </w:pPr>
    </w:p>
    <w:p>
      <w:pPr>
        <w:tabs>
          <w:tab w:val="left" w:pos="675"/>
        </w:tabs>
        <w:rPr>
          <w:rFonts w:hint="eastAsia" w:ascii="宋体" w:hAnsi="宋体" w:eastAsia="宋体" w:cs="宋体"/>
          <w:b/>
          <w:color w:val="auto"/>
          <w:sz w:val="32"/>
          <w:szCs w:val="32"/>
          <w:highlight w:val="none"/>
        </w:rPr>
      </w:pPr>
    </w:p>
    <w:p>
      <w:pPr>
        <w:tabs>
          <w:tab w:val="left" w:pos="675"/>
        </w:tabs>
        <w:rPr>
          <w:rFonts w:hint="eastAsia" w:ascii="宋体" w:hAnsi="宋体" w:eastAsia="宋体" w:cs="宋体"/>
          <w:b/>
          <w:color w:val="auto"/>
          <w:sz w:val="32"/>
          <w:szCs w:val="32"/>
          <w:highlight w:val="none"/>
        </w:rPr>
      </w:pPr>
    </w:p>
    <w:p>
      <w:pPr>
        <w:tabs>
          <w:tab w:val="left" w:pos="675"/>
        </w:tabs>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附件</w:t>
      </w:r>
    </w:p>
    <w:p>
      <w:pPr>
        <w:tabs>
          <w:tab w:val="left" w:pos="675"/>
        </w:tabs>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u w:val="single"/>
        </w:rPr>
        <w:t>（项目名称）</w:t>
      </w:r>
      <w:r>
        <w:rPr>
          <w:rFonts w:hint="eastAsia" w:ascii="宋体" w:hAnsi="宋体" w:eastAsia="宋体" w:cs="宋体"/>
          <w:b/>
          <w:color w:val="auto"/>
          <w:sz w:val="32"/>
          <w:szCs w:val="32"/>
          <w:highlight w:val="none"/>
        </w:rPr>
        <w:t>配置清单</w:t>
      </w:r>
    </w:p>
    <w:p>
      <w:pPr>
        <w:tabs>
          <w:tab w:val="left" w:pos="675"/>
        </w:tabs>
        <w:jc w:val="center"/>
        <w:rPr>
          <w:rFonts w:hint="eastAsia" w:ascii="宋体" w:hAnsi="宋体" w:eastAsia="宋体" w:cs="宋体"/>
          <w:b/>
          <w:color w:val="auto"/>
          <w:sz w:val="30"/>
          <w:szCs w:val="30"/>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2631"/>
        <w:gridCol w:w="1710"/>
        <w:gridCol w:w="1418"/>
        <w:gridCol w:w="1134"/>
        <w:gridCol w:w="1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2631"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货物名称</w:t>
            </w:r>
          </w:p>
        </w:tc>
        <w:tc>
          <w:tcPr>
            <w:tcW w:w="1710"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规格参数</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数量</w:t>
            </w:r>
          </w:p>
        </w:tc>
        <w:tc>
          <w:tcPr>
            <w:tcW w:w="1134" w:type="dxa"/>
            <w:tcBorders>
              <w:top w:val="single" w:color="auto" w:sz="4" w:space="0"/>
              <w:left w:val="single" w:color="auto" w:sz="4" w:space="0"/>
              <w:bottom w:val="single" w:color="auto" w:sz="4" w:space="0"/>
              <w:right w:val="single" w:color="auto" w:sz="4" w:space="0"/>
            </w:tcBorders>
            <w:noWrap w:val="0"/>
            <w:vAlign w:val="top"/>
          </w:tcPr>
          <w:p>
            <w:pPr>
              <w:tabs>
                <w:tab w:val="left" w:pos="480"/>
              </w:tabs>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产地</w:t>
            </w:r>
          </w:p>
        </w:tc>
        <w:tc>
          <w:tcPr>
            <w:tcW w:w="1347" w:type="dxa"/>
            <w:tcBorders>
              <w:top w:val="single" w:color="auto" w:sz="4" w:space="0"/>
              <w:left w:val="single" w:color="auto" w:sz="4" w:space="0"/>
              <w:bottom w:val="single" w:color="auto" w:sz="4" w:space="0"/>
              <w:right w:val="single" w:color="auto" w:sz="4" w:space="0"/>
            </w:tcBorders>
            <w:noWrap w:val="0"/>
            <w:vAlign w:val="top"/>
          </w:tcPr>
          <w:p>
            <w:pPr>
              <w:tabs>
                <w:tab w:val="left" w:pos="480"/>
              </w:tabs>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highlight w:val="none"/>
              </w:rPr>
              <w:t>1</w:t>
            </w:r>
          </w:p>
        </w:tc>
        <w:tc>
          <w:tcPr>
            <w:tcW w:w="2631" w:type="dxa"/>
            <w:tcBorders>
              <w:top w:val="single" w:color="auto" w:sz="4" w:space="0"/>
              <w:left w:val="single" w:color="auto" w:sz="4" w:space="0"/>
              <w:bottom w:val="single" w:color="auto" w:sz="4" w:space="0"/>
              <w:right w:val="single" w:color="auto" w:sz="4" w:space="0"/>
            </w:tcBorders>
            <w:noWrap w:val="0"/>
            <w:vAlign w:val="bottom"/>
          </w:tcPr>
          <w:p>
            <w:pPr>
              <w:jc w:val="center"/>
              <w:rPr>
                <w:rFonts w:hint="eastAsia" w:ascii="宋体" w:hAnsi="宋体" w:eastAsia="宋体" w:cs="宋体"/>
                <w:color w:val="auto"/>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pPr>
              <w:jc w:val="center"/>
              <w:rPr>
                <w:rFonts w:hint="eastAsia" w:ascii="宋体" w:hAnsi="宋体" w:eastAsia="宋体" w:cs="宋体"/>
                <w:color w:val="auto"/>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eastAsia="宋体" w:cs="宋体"/>
                <w:color w:val="auto"/>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pPr>
              <w:tabs>
                <w:tab w:val="left" w:pos="480"/>
              </w:tabs>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highlight w:val="none"/>
              </w:rPr>
              <w:t>2</w:t>
            </w:r>
          </w:p>
        </w:tc>
        <w:tc>
          <w:tcPr>
            <w:tcW w:w="2631"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pPr>
              <w:jc w:val="center"/>
              <w:rPr>
                <w:rFonts w:hint="eastAsia" w:ascii="宋体" w:hAnsi="宋体" w:eastAsia="宋体" w:cs="宋体"/>
                <w:color w:val="auto"/>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eastAsia="宋体" w:cs="宋体"/>
                <w:color w:val="auto"/>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pPr>
              <w:tabs>
                <w:tab w:val="left" w:pos="480"/>
              </w:tabs>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highlight w:val="none"/>
              </w:rPr>
              <w:t>3</w:t>
            </w:r>
          </w:p>
        </w:tc>
        <w:tc>
          <w:tcPr>
            <w:tcW w:w="2631"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pPr>
              <w:jc w:val="center"/>
              <w:rPr>
                <w:rFonts w:hint="eastAsia" w:ascii="宋体" w:hAnsi="宋体" w:eastAsia="宋体" w:cs="宋体"/>
                <w:color w:val="auto"/>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eastAsia="宋体" w:cs="宋体"/>
                <w:color w:val="auto"/>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pPr>
              <w:tabs>
                <w:tab w:val="left" w:pos="480"/>
              </w:tabs>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highlight w:val="none"/>
              </w:rPr>
              <w:t>4</w:t>
            </w:r>
          </w:p>
        </w:tc>
        <w:tc>
          <w:tcPr>
            <w:tcW w:w="2631" w:type="dxa"/>
            <w:tcBorders>
              <w:top w:val="single" w:color="auto" w:sz="4" w:space="0"/>
              <w:left w:val="single" w:color="auto" w:sz="4" w:space="0"/>
              <w:bottom w:val="single" w:color="auto" w:sz="4" w:space="0"/>
              <w:right w:val="single" w:color="auto" w:sz="4" w:space="0"/>
            </w:tcBorders>
            <w:noWrap w:val="0"/>
            <w:vAlign w:val="bottom"/>
          </w:tcPr>
          <w:p>
            <w:pPr>
              <w:jc w:val="center"/>
              <w:rPr>
                <w:rFonts w:hint="eastAsia" w:ascii="宋体" w:hAnsi="宋体" w:eastAsia="宋体" w:cs="宋体"/>
                <w:color w:val="auto"/>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pPr>
              <w:jc w:val="center"/>
              <w:rPr>
                <w:rFonts w:hint="eastAsia" w:ascii="宋体" w:hAnsi="宋体" w:eastAsia="宋体" w:cs="宋体"/>
                <w:color w:val="auto"/>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eastAsia="宋体" w:cs="宋体"/>
                <w:color w:val="auto"/>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pPr>
              <w:tabs>
                <w:tab w:val="left" w:pos="480"/>
              </w:tabs>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highlight w:val="none"/>
              </w:rPr>
              <w:t>5</w:t>
            </w:r>
          </w:p>
        </w:tc>
        <w:tc>
          <w:tcPr>
            <w:tcW w:w="2631" w:type="dxa"/>
            <w:tcBorders>
              <w:top w:val="single" w:color="auto" w:sz="4" w:space="0"/>
              <w:left w:val="single" w:color="auto" w:sz="4" w:space="0"/>
              <w:bottom w:val="single" w:color="auto" w:sz="4" w:space="0"/>
              <w:right w:val="single" w:color="auto" w:sz="4" w:space="0"/>
            </w:tcBorders>
            <w:noWrap w:val="0"/>
            <w:vAlign w:val="bottom"/>
          </w:tcPr>
          <w:p>
            <w:pPr>
              <w:jc w:val="center"/>
              <w:rPr>
                <w:rFonts w:hint="eastAsia" w:ascii="宋体" w:hAnsi="宋体" w:eastAsia="宋体" w:cs="宋体"/>
                <w:color w:val="auto"/>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pPr>
              <w:jc w:val="center"/>
              <w:rPr>
                <w:rFonts w:hint="eastAsia" w:ascii="宋体" w:hAnsi="宋体" w:eastAsia="宋体" w:cs="宋体"/>
                <w:color w:val="auto"/>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eastAsia="宋体" w:cs="宋体"/>
                <w:color w:val="auto"/>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pPr>
              <w:tabs>
                <w:tab w:val="left" w:pos="480"/>
              </w:tabs>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highlight w:val="none"/>
              </w:rPr>
              <w:t>6</w:t>
            </w:r>
          </w:p>
        </w:tc>
        <w:tc>
          <w:tcPr>
            <w:tcW w:w="2631" w:type="dxa"/>
            <w:tcBorders>
              <w:top w:val="single" w:color="auto" w:sz="4" w:space="0"/>
              <w:left w:val="single" w:color="auto" w:sz="4" w:space="0"/>
              <w:bottom w:val="single" w:color="auto" w:sz="4" w:space="0"/>
              <w:right w:val="single" w:color="auto" w:sz="4" w:space="0"/>
            </w:tcBorders>
            <w:noWrap w:val="0"/>
            <w:vAlign w:val="bottom"/>
          </w:tcPr>
          <w:p>
            <w:pPr>
              <w:jc w:val="center"/>
              <w:rPr>
                <w:rFonts w:hint="eastAsia" w:ascii="宋体" w:hAnsi="宋体" w:eastAsia="宋体" w:cs="宋体"/>
                <w:color w:val="auto"/>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pPr>
              <w:jc w:val="center"/>
              <w:rPr>
                <w:rFonts w:hint="eastAsia" w:ascii="宋体" w:hAnsi="宋体" w:eastAsia="宋体" w:cs="宋体"/>
                <w:color w:val="auto"/>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eastAsia="宋体" w:cs="宋体"/>
                <w:color w:val="auto"/>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pPr>
              <w:tabs>
                <w:tab w:val="left" w:pos="480"/>
              </w:tabs>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highlight w:val="none"/>
              </w:rPr>
              <w:t>7</w:t>
            </w:r>
          </w:p>
        </w:tc>
        <w:tc>
          <w:tcPr>
            <w:tcW w:w="2631" w:type="dxa"/>
            <w:tcBorders>
              <w:top w:val="single" w:color="auto" w:sz="4" w:space="0"/>
              <w:left w:val="single" w:color="auto" w:sz="4" w:space="0"/>
              <w:bottom w:val="single" w:color="auto" w:sz="4" w:space="0"/>
              <w:right w:val="single" w:color="auto" w:sz="4" w:space="0"/>
            </w:tcBorders>
            <w:noWrap w:val="0"/>
            <w:vAlign w:val="bottom"/>
          </w:tcPr>
          <w:p>
            <w:pPr>
              <w:jc w:val="center"/>
              <w:rPr>
                <w:rFonts w:hint="eastAsia" w:ascii="宋体" w:hAnsi="宋体" w:eastAsia="宋体" w:cs="宋体"/>
                <w:color w:val="auto"/>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pPr>
              <w:jc w:val="center"/>
              <w:rPr>
                <w:rFonts w:hint="eastAsia" w:ascii="宋体" w:hAnsi="宋体" w:eastAsia="宋体" w:cs="宋体"/>
                <w:color w:val="auto"/>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eastAsia="宋体" w:cs="宋体"/>
                <w:color w:val="auto"/>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pPr>
              <w:tabs>
                <w:tab w:val="left" w:pos="480"/>
              </w:tabs>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highlight w:val="none"/>
              </w:rPr>
              <w:t>8</w:t>
            </w:r>
          </w:p>
        </w:tc>
        <w:tc>
          <w:tcPr>
            <w:tcW w:w="2631" w:type="dxa"/>
            <w:tcBorders>
              <w:top w:val="single" w:color="auto" w:sz="4" w:space="0"/>
              <w:left w:val="single" w:color="auto" w:sz="4" w:space="0"/>
              <w:bottom w:val="single" w:color="auto" w:sz="4" w:space="0"/>
              <w:right w:val="single" w:color="auto" w:sz="4" w:space="0"/>
            </w:tcBorders>
            <w:noWrap w:val="0"/>
            <w:vAlign w:val="bottom"/>
          </w:tcPr>
          <w:p>
            <w:pPr>
              <w:jc w:val="center"/>
              <w:rPr>
                <w:rFonts w:hint="eastAsia" w:ascii="宋体" w:hAnsi="宋体" w:eastAsia="宋体" w:cs="宋体"/>
                <w:color w:val="auto"/>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pPr>
              <w:jc w:val="center"/>
              <w:rPr>
                <w:rFonts w:hint="eastAsia" w:ascii="宋体" w:hAnsi="宋体" w:eastAsia="宋体" w:cs="宋体"/>
                <w:color w:val="auto"/>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eastAsia="宋体" w:cs="宋体"/>
                <w:color w:val="auto"/>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pPr>
              <w:tabs>
                <w:tab w:val="left" w:pos="480"/>
              </w:tabs>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highlight w:val="none"/>
              </w:rPr>
              <w:t>9</w:t>
            </w:r>
          </w:p>
        </w:tc>
        <w:tc>
          <w:tcPr>
            <w:tcW w:w="2631"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pPr>
              <w:jc w:val="center"/>
              <w:rPr>
                <w:rFonts w:hint="eastAsia" w:ascii="宋体" w:hAnsi="宋体" w:eastAsia="宋体" w:cs="宋体"/>
                <w:color w:val="auto"/>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eastAsia="宋体" w:cs="宋体"/>
                <w:color w:val="auto"/>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pPr>
              <w:tabs>
                <w:tab w:val="left" w:pos="480"/>
              </w:tabs>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highlight w:val="none"/>
              </w:rPr>
              <w:t>10</w:t>
            </w:r>
          </w:p>
        </w:tc>
        <w:tc>
          <w:tcPr>
            <w:tcW w:w="2631"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pPr>
              <w:jc w:val="center"/>
              <w:rPr>
                <w:rFonts w:hint="eastAsia" w:ascii="宋体" w:hAnsi="宋体" w:eastAsia="宋体" w:cs="宋体"/>
                <w:color w:val="auto"/>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eastAsia="宋体" w:cs="宋体"/>
                <w:color w:val="auto"/>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pPr>
              <w:tabs>
                <w:tab w:val="left" w:pos="480"/>
              </w:tabs>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highlight w:val="none"/>
              </w:rPr>
              <w:t>11</w:t>
            </w:r>
          </w:p>
        </w:tc>
        <w:tc>
          <w:tcPr>
            <w:tcW w:w="2631" w:type="dxa"/>
            <w:tcBorders>
              <w:top w:val="single" w:color="auto" w:sz="4" w:space="0"/>
              <w:left w:val="single" w:color="auto" w:sz="4" w:space="0"/>
              <w:bottom w:val="single" w:color="auto" w:sz="4" w:space="0"/>
              <w:right w:val="single" w:color="auto" w:sz="4" w:space="0"/>
            </w:tcBorders>
            <w:noWrap w:val="0"/>
            <w:vAlign w:val="bottom"/>
          </w:tcPr>
          <w:p>
            <w:pPr>
              <w:jc w:val="center"/>
              <w:rPr>
                <w:rFonts w:hint="eastAsia" w:ascii="宋体" w:hAnsi="宋体" w:eastAsia="宋体" w:cs="宋体"/>
                <w:color w:val="auto"/>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pPr>
              <w:jc w:val="center"/>
              <w:rPr>
                <w:rFonts w:hint="eastAsia" w:ascii="宋体" w:hAnsi="宋体" w:eastAsia="宋体" w:cs="宋体"/>
                <w:color w:val="auto"/>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eastAsia="宋体" w:cs="宋体"/>
                <w:color w:val="auto"/>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pPr>
              <w:tabs>
                <w:tab w:val="left" w:pos="480"/>
              </w:tabs>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highlight w:val="none"/>
              </w:rPr>
              <w:t>12</w:t>
            </w:r>
          </w:p>
        </w:tc>
        <w:tc>
          <w:tcPr>
            <w:tcW w:w="2631" w:type="dxa"/>
            <w:tcBorders>
              <w:top w:val="single" w:color="auto" w:sz="4" w:space="0"/>
              <w:left w:val="single" w:color="auto" w:sz="4" w:space="0"/>
              <w:bottom w:val="single" w:color="auto" w:sz="4" w:space="0"/>
              <w:right w:val="single" w:color="auto" w:sz="4" w:space="0"/>
            </w:tcBorders>
            <w:noWrap w:val="0"/>
            <w:vAlign w:val="bottom"/>
          </w:tcPr>
          <w:p>
            <w:pPr>
              <w:jc w:val="center"/>
              <w:rPr>
                <w:rFonts w:hint="eastAsia" w:ascii="宋体" w:hAnsi="宋体" w:eastAsia="宋体" w:cs="宋体"/>
                <w:color w:val="auto"/>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pPr>
              <w:jc w:val="center"/>
              <w:rPr>
                <w:rFonts w:hint="eastAsia" w:ascii="宋体" w:hAnsi="宋体" w:eastAsia="宋体" w:cs="宋体"/>
                <w:color w:val="auto"/>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eastAsia="宋体" w:cs="宋体"/>
                <w:color w:val="auto"/>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pPr>
              <w:tabs>
                <w:tab w:val="left" w:pos="480"/>
              </w:tabs>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highlight w:val="none"/>
              </w:rPr>
              <w:t>13</w:t>
            </w:r>
          </w:p>
        </w:tc>
        <w:tc>
          <w:tcPr>
            <w:tcW w:w="2631" w:type="dxa"/>
            <w:tcBorders>
              <w:top w:val="single" w:color="auto" w:sz="4" w:space="0"/>
              <w:left w:val="single" w:color="auto" w:sz="4" w:space="0"/>
              <w:bottom w:val="single" w:color="auto" w:sz="4" w:space="0"/>
              <w:right w:val="single" w:color="auto" w:sz="4" w:space="0"/>
            </w:tcBorders>
            <w:noWrap w:val="0"/>
            <w:vAlign w:val="bottom"/>
          </w:tcPr>
          <w:p>
            <w:pPr>
              <w:jc w:val="center"/>
              <w:rPr>
                <w:rFonts w:hint="eastAsia" w:ascii="宋体" w:hAnsi="宋体" w:eastAsia="宋体" w:cs="宋体"/>
                <w:color w:val="auto"/>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pPr>
              <w:jc w:val="center"/>
              <w:rPr>
                <w:rFonts w:hint="eastAsia" w:ascii="宋体" w:hAnsi="宋体" w:eastAsia="宋体" w:cs="宋体"/>
                <w:color w:val="auto"/>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eastAsia="宋体" w:cs="宋体"/>
                <w:color w:val="auto"/>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pPr>
              <w:tabs>
                <w:tab w:val="left" w:pos="480"/>
              </w:tabs>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highlight w:val="none"/>
              </w:rPr>
              <w:t>14</w:t>
            </w:r>
          </w:p>
        </w:tc>
        <w:tc>
          <w:tcPr>
            <w:tcW w:w="2631"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pPr>
              <w:jc w:val="center"/>
              <w:rPr>
                <w:rFonts w:hint="eastAsia" w:ascii="宋体" w:hAnsi="宋体" w:eastAsia="宋体" w:cs="宋体"/>
                <w:color w:val="auto"/>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eastAsia="宋体" w:cs="宋体"/>
                <w:color w:val="auto"/>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pPr>
              <w:tabs>
                <w:tab w:val="left" w:pos="480"/>
              </w:tabs>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highlight w:val="none"/>
              </w:rPr>
              <w:t>15</w:t>
            </w:r>
          </w:p>
        </w:tc>
        <w:tc>
          <w:tcPr>
            <w:tcW w:w="2631"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pPr>
              <w:jc w:val="center"/>
              <w:rPr>
                <w:rFonts w:hint="eastAsia" w:ascii="宋体" w:hAnsi="宋体" w:eastAsia="宋体" w:cs="宋体"/>
                <w:color w:val="auto"/>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eastAsia="宋体" w:cs="宋体"/>
                <w:color w:val="auto"/>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pPr>
              <w:tabs>
                <w:tab w:val="left" w:pos="480"/>
              </w:tabs>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highlight w:val="none"/>
              </w:rPr>
              <w:t>16</w:t>
            </w:r>
          </w:p>
        </w:tc>
        <w:tc>
          <w:tcPr>
            <w:tcW w:w="2631"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pPr>
              <w:jc w:val="center"/>
              <w:rPr>
                <w:rFonts w:hint="eastAsia" w:ascii="宋体" w:hAnsi="宋体" w:eastAsia="宋体" w:cs="宋体"/>
                <w:color w:val="auto"/>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eastAsia="宋体" w:cs="宋体"/>
                <w:color w:val="auto"/>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pPr>
              <w:tabs>
                <w:tab w:val="left" w:pos="480"/>
              </w:tabs>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highlight w:val="none"/>
              </w:rPr>
              <w:t>17</w:t>
            </w:r>
          </w:p>
        </w:tc>
        <w:tc>
          <w:tcPr>
            <w:tcW w:w="2631"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pPr>
              <w:jc w:val="center"/>
              <w:rPr>
                <w:rFonts w:hint="eastAsia" w:ascii="宋体" w:hAnsi="宋体" w:eastAsia="宋体" w:cs="宋体"/>
                <w:color w:val="auto"/>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eastAsia="宋体" w:cs="宋体"/>
                <w:color w:val="auto"/>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pPr>
              <w:tabs>
                <w:tab w:val="left" w:pos="480"/>
              </w:tabs>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highlight w:val="none"/>
              </w:rPr>
              <w:t>18</w:t>
            </w:r>
          </w:p>
        </w:tc>
        <w:tc>
          <w:tcPr>
            <w:tcW w:w="2631" w:type="dxa"/>
            <w:tcBorders>
              <w:top w:val="single" w:color="auto" w:sz="4" w:space="0"/>
              <w:left w:val="single" w:color="auto" w:sz="4" w:space="0"/>
              <w:bottom w:val="single" w:color="auto" w:sz="4" w:space="0"/>
              <w:right w:val="single" w:color="auto" w:sz="4" w:space="0"/>
            </w:tcBorders>
            <w:noWrap w:val="0"/>
            <w:vAlign w:val="bottom"/>
          </w:tcPr>
          <w:p>
            <w:pPr>
              <w:jc w:val="center"/>
              <w:rPr>
                <w:rFonts w:hint="eastAsia" w:ascii="宋体" w:hAnsi="宋体" w:eastAsia="宋体" w:cs="宋体"/>
                <w:color w:val="auto"/>
                <w:szCs w:val="21"/>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bottom"/>
          </w:tcPr>
          <w:p>
            <w:pPr>
              <w:jc w:val="center"/>
              <w:rPr>
                <w:rFonts w:hint="eastAsia" w:ascii="宋体" w:hAnsi="宋体" w:eastAsia="宋体" w:cs="宋体"/>
                <w:color w:val="auto"/>
                <w:szCs w:val="21"/>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bottom"/>
          </w:tcPr>
          <w:p>
            <w:pPr>
              <w:spacing w:line="440" w:lineRule="exact"/>
              <w:jc w:val="center"/>
              <w:rPr>
                <w:rFonts w:hint="eastAsia" w:ascii="宋体" w:hAnsi="宋体" w:eastAsia="宋体" w:cs="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eastAsia="宋体" w:cs="宋体"/>
                <w:color w:val="auto"/>
                <w:szCs w:val="21"/>
                <w:highlight w:val="none"/>
              </w:rPr>
            </w:pPr>
          </w:p>
        </w:tc>
        <w:tc>
          <w:tcPr>
            <w:tcW w:w="1347" w:type="dxa"/>
            <w:tcBorders>
              <w:top w:val="single" w:color="auto" w:sz="4" w:space="0"/>
              <w:left w:val="single" w:color="auto" w:sz="4" w:space="0"/>
              <w:bottom w:val="single" w:color="auto" w:sz="4" w:space="0"/>
              <w:right w:val="single" w:color="auto" w:sz="4" w:space="0"/>
            </w:tcBorders>
            <w:noWrap w:val="0"/>
            <w:vAlign w:val="top"/>
          </w:tcPr>
          <w:p>
            <w:pPr>
              <w:tabs>
                <w:tab w:val="left" w:pos="480"/>
              </w:tabs>
              <w:jc w:val="center"/>
              <w:rPr>
                <w:rFonts w:hint="eastAsia" w:ascii="宋体" w:hAnsi="宋体" w:eastAsia="宋体" w:cs="宋体"/>
                <w:color w:val="auto"/>
                <w:szCs w:val="21"/>
                <w:highlight w:val="none"/>
              </w:rPr>
            </w:pPr>
          </w:p>
        </w:tc>
      </w:tr>
    </w:tbl>
    <w:p>
      <w:pPr>
        <w:tabs>
          <w:tab w:val="left" w:pos="3710"/>
        </w:tabs>
        <w:jc w:val="left"/>
        <w:rPr>
          <w:rFonts w:hint="eastAsia" w:ascii="宋体" w:hAnsi="宋体" w:eastAsia="宋体" w:cs="宋体"/>
          <w:color w:val="auto"/>
          <w:highlight w:val="none"/>
        </w:rPr>
      </w:pPr>
    </w:p>
    <w:p>
      <w:pPr>
        <w:tabs>
          <w:tab w:val="left" w:pos="3710"/>
        </w:tabs>
        <w:jc w:val="left"/>
        <w:rPr>
          <w:rFonts w:hint="eastAsia" w:ascii="宋体" w:hAnsi="宋体" w:eastAsia="宋体" w:cs="宋体"/>
          <w:color w:val="auto"/>
          <w:highlight w:val="none"/>
        </w:rPr>
      </w:pPr>
    </w:p>
    <w:p>
      <w:pPr>
        <w:snapToGrid w:val="0"/>
        <w:spacing w:line="520" w:lineRule="exact"/>
        <w:rPr>
          <w:rFonts w:hint="eastAsia" w:ascii="宋体" w:hAnsi="宋体" w:eastAsia="宋体" w:cs="宋体"/>
          <w:color w:val="auto"/>
          <w:highlight w:val="none"/>
        </w:rPr>
      </w:pPr>
      <w:r>
        <w:rPr>
          <w:rFonts w:hint="eastAsia" w:ascii="宋体" w:hAnsi="宋体" w:eastAsia="宋体" w:cs="宋体"/>
          <w:color w:val="auto"/>
          <w:highlight w:val="none"/>
        </w:rPr>
        <w:t xml:space="preserve">                       </w:t>
      </w:r>
    </w:p>
    <w:p>
      <w:pPr>
        <w:pStyle w:val="4"/>
        <w:rPr>
          <w:rFonts w:hint="eastAsia" w:ascii="宋体" w:hAnsi="宋体" w:eastAsia="宋体" w:cs="宋体"/>
          <w:color w:val="auto"/>
          <w:highlight w:val="none"/>
        </w:rPr>
      </w:pPr>
    </w:p>
    <w:p>
      <w:pPr>
        <w:pStyle w:val="4"/>
        <w:rPr>
          <w:rFonts w:hint="eastAsia" w:ascii="宋体" w:hAnsi="宋体" w:eastAsia="宋体" w:cs="宋体"/>
          <w:color w:val="auto"/>
          <w:highlight w:val="none"/>
        </w:rPr>
      </w:pPr>
    </w:p>
    <w:p>
      <w:pPr>
        <w:rPr>
          <w:rFonts w:hint="eastAsia" w:ascii="宋体" w:hAnsi="宋体" w:eastAsia="宋体" w:cs="宋体"/>
          <w:color w:val="auto"/>
          <w:highlight w:val="none"/>
        </w:rPr>
      </w:pPr>
      <w:r>
        <w:rPr>
          <w:rFonts w:hint="eastAsia" w:ascii="宋体" w:hAnsi="宋体" w:eastAsia="宋体" w:cs="宋体"/>
          <w:color w:val="auto"/>
          <w:highlight w:val="none"/>
        </w:rPr>
        <w:br w:type="page"/>
      </w:r>
    </w:p>
    <w:p>
      <w:pPr>
        <w:snapToGrid w:val="0"/>
        <w:spacing w:line="520" w:lineRule="exact"/>
        <w:ind w:firstLine="2310" w:firstLineChars="1100"/>
        <w:rPr>
          <w:rFonts w:hint="eastAsia" w:ascii="宋体" w:hAnsi="宋体" w:eastAsia="宋体" w:cs="宋体"/>
          <w:b/>
          <w:color w:val="auto"/>
          <w:sz w:val="36"/>
          <w:szCs w:val="36"/>
          <w:highlight w:val="none"/>
        </w:rPr>
      </w:pPr>
      <w:r>
        <w:rPr>
          <w:rFonts w:hint="eastAsia" w:ascii="宋体" w:hAnsi="宋体" w:eastAsia="宋体" w:cs="宋体"/>
          <w:color w:val="auto"/>
          <w:highlight w:val="none"/>
        </w:rPr>
        <w:t xml:space="preserve"> </w:t>
      </w:r>
      <w:r>
        <w:rPr>
          <w:rFonts w:hint="eastAsia" w:ascii="宋体" w:hAnsi="宋体" w:eastAsia="宋体" w:cs="宋体"/>
          <w:b/>
          <w:color w:val="auto"/>
          <w:sz w:val="36"/>
          <w:szCs w:val="36"/>
          <w:highlight w:val="none"/>
        </w:rPr>
        <w:t>西安市政府采购供应商</w:t>
      </w:r>
    </w:p>
    <w:p>
      <w:pPr>
        <w:snapToGrid w:val="0"/>
        <w:spacing w:line="520" w:lineRule="exact"/>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 xml:space="preserve">          拒绝政府采购领域商业贿赂承诺书</w:t>
      </w:r>
    </w:p>
    <w:p>
      <w:pPr>
        <w:snapToGrid w:val="0"/>
        <w:spacing w:line="400" w:lineRule="exact"/>
        <w:ind w:firstLine="560" w:firstLineChars="200"/>
        <w:rPr>
          <w:rFonts w:hint="eastAsia" w:ascii="宋体" w:hAnsi="宋体" w:eastAsia="宋体" w:cs="宋体"/>
          <w:color w:val="auto"/>
          <w:sz w:val="28"/>
          <w:szCs w:val="28"/>
          <w:highlight w:val="none"/>
        </w:rPr>
      </w:pPr>
    </w:p>
    <w:p>
      <w:pPr>
        <w:snapToGrid w:val="0"/>
        <w:spacing w:line="360" w:lineRule="auto"/>
        <w:ind w:firstLine="560" w:firstLineChars="200"/>
        <w:rPr>
          <w:rFonts w:hint="eastAsia" w:ascii="宋体" w:hAnsi="宋体" w:eastAsia="宋体" w:cs="宋体"/>
          <w:b/>
          <w:color w:val="auto"/>
          <w:sz w:val="28"/>
          <w:szCs w:val="28"/>
          <w:highlight w:val="none"/>
        </w:rPr>
      </w:pPr>
      <w:r>
        <w:rPr>
          <w:rFonts w:hint="eastAsia" w:ascii="宋体" w:hAnsi="宋体" w:eastAsia="宋体" w:cs="宋体"/>
          <w:color w:val="auto"/>
          <w:sz w:val="28"/>
          <w:szCs w:val="28"/>
          <w:highlight w:val="none"/>
        </w:rPr>
        <w:t>为响应党中央、国务院关于治理政府采购领域商业贿赂行为的号召，我公司在此承诺：</w:t>
      </w:r>
    </w:p>
    <w:p>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一、在参与政府采购活动中遵纪守法、诚信经营、公平竞标。</w:t>
      </w:r>
    </w:p>
    <w:p>
      <w:pPr>
        <w:snapToGrid w:val="0"/>
        <w:spacing w:line="360" w:lineRule="auto"/>
        <w:ind w:firstLine="560" w:firstLineChars="200"/>
        <w:rPr>
          <w:rFonts w:hint="eastAsia" w:ascii="宋体" w:hAnsi="宋体" w:eastAsia="宋体" w:cs="宋体"/>
          <w:b/>
          <w:color w:val="auto"/>
          <w:sz w:val="28"/>
          <w:szCs w:val="28"/>
          <w:highlight w:val="none"/>
        </w:rPr>
      </w:pPr>
      <w:r>
        <w:rPr>
          <w:rFonts w:hint="eastAsia" w:ascii="宋体" w:hAnsi="宋体" w:eastAsia="宋体" w:cs="宋体"/>
          <w:color w:val="auto"/>
          <w:sz w:val="28"/>
          <w:szCs w:val="28"/>
          <w:highlight w:val="none"/>
        </w:rPr>
        <w:t>二、不向政府采购人、采购代理机构和政府采购评审专家进行任何形式的商业贿赂以谋取交易机会。</w:t>
      </w:r>
    </w:p>
    <w:p>
      <w:pPr>
        <w:snapToGrid w:val="0"/>
        <w:spacing w:line="360" w:lineRule="auto"/>
        <w:ind w:firstLine="560" w:firstLineChars="200"/>
        <w:rPr>
          <w:rFonts w:hint="eastAsia" w:ascii="宋体" w:hAnsi="宋体" w:eastAsia="宋体" w:cs="宋体"/>
          <w:b/>
          <w:sz w:val="28"/>
          <w:szCs w:val="28"/>
          <w:highlight w:val="none"/>
        </w:rPr>
      </w:pPr>
      <w:r>
        <w:rPr>
          <w:rFonts w:hint="eastAsia" w:ascii="宋体" w:hAnsi="宋体" w:eastAsia="宋体" w:cs="宋体"/>
          <w:color w:val="auto"/>
          <w:sz w:val="28"/>
          <w:szCs w:val="28"/>
          <w:highlight w:val="none"/>
        </w:rPr>
        <w:t>三、不向政府采购代理机构和采购人提供虚假资质文件或采用虚假应</w:t>
      </w:r>
      <w:r>
        <w:rPr>
          <w:rFonts w:hint="eastAsia" w:ascii="宋体" w:hAnsi="宋体" w:eastAsia="宋体" w:cs="宋体"/>
          <w:sz w:val="28"/>
          <w:szCs w:val="28"/>
          <w:highlight w:val="none"/>
        </w:rPr>
        <w:t>标方式参与政府采购市场竞争并谋取中标、成交。</w:t>
      </w:r>
    </w:p>
    <w:p>
      <w:pPr>
        <w:snapToGrid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四、不采取“围标、陪标”等商业欺诈手段获取政府采购订单；</w:t>
      </w:r>
    </w:p>
    <w:p>
      <w:pPr>
        <w:snapToGrid w:val="0"/>
        <w:spacing w:line="360" w:lineRule="auto"/>
        <w:ind w:firstLine="560" w:firstLineChars="200"/>
        <w:rPr>
          <w:rFonts w:hint="eastAsia" w:ascii="宋体" w:hAnsi="宋体" w:eastAsia="宋体" w:cs="宋体"/>
          <w:b/>
          <w:sz w:val="28"/>
          <w:szCs w:val="28"/>
          <w:highlight w:val="none"/>
        </w:rPr>
      </w:pPr>
      <w:r>
        <w:rPr>
          <w:rFonts w:hint="eastAsia" w:ascii="宋体" w:hAnsi="宋体" w:eastAsia="宋体" w:cs="宋体"/>
          <w:sz w:val="28"/>
          <w:szCs w:val="28"/>
          <w:highlight w:val="none"/>
        </w:rPr>
        <w:t>五、不采取不正当手段诋毁、排挤其他供应商。</w:t>
      </w:r>
    </w:p>
    <w:p>
      <w:pPr>
        <w:snapToGrid w:val="0"/>
        <w:spacing w:line="360" w:lineRule="auto"/>
        <w:ind w:firstLine="560" w:firstLineChars="200"/>
        <w:rPr>
          <w:rFonts w:hint="eastAsia" w:ascii="宋体" w:hAnsi="宋体" w:eastAsia="宋体" w:cs="宋体"/>
          <w:b/>
          <w:sz w:val="28"/>
          <w:szCs w:val="28"/>
          <w:highlight w:val="none"/>
        </w:rPr>
      </w:pPr>
      <w:r>
        <w:rPr>
          <w:rFonts w:hint="eastAsia" w:ascii="宋体" w:hAnsi="宋体" w:eastAsia="宋体" w:cs="宋体"/>
          <w:sz w:val="28"/>
          <w:szCs w:val="28"/>
          <w:highlight w:val="none"/>
        </w:rPr>
        <w:t>六、不在提供商品和服务时“偷梁换柱、以次充好”损害采购人的合法权益。</w:t>
      </w:r>
    </w:p>
    <w:p>
      <w:pPr>
        <w:snapToGrid w:val="0"/>
        <w:spacing w:line="360" w:lineRule="auto"/>
        <w:ind w:firstLine="560" w:firstLineChars="200"/>
        <w:rPr>
          <w:rFonts w:hint="eastAsia" w:ascii="宋体" w:hAnsi="宋体" w:eastAsia="宋体" w:cs="宋体"/>
          <w:b/>
          <w:sz w:val="28"/>
          <w:szCs w:val="28"/>
          <w:highlight w:val="none"/>
        </w:rPr>
      </w:pPr>
      <w:r>
        <w:rPr>
          <w:rFonts w:hint="eastAsia" w:ascii="宋体" w:hAnsi="宋体" w:eastAsia="宋体" w:cs="宋体"/>
          <w:sz w:val="28"/>
          <w:szCs w:val="28"/>
          <w:highlight w:val="none"/>
        </w:rPr>
        <w:t>七、不与采购人、采购代理机构、政府采购评审专家或其他供应商恶意串通，进行质疑和投诉，维护政府采购市场秩序。</w:t>
      </w:r>
    </w:p>
    <w:p>
      <w:pPr>
        <w:snapToGrid w:val="0"/>
        <w:spacing w:line="360" w:lineRule="auto"/>
        <w:ind w:firstLine="560" w:firstLineChars="200"/>
        <w:rPr>
          <w:rFonts w:hint="eastAsia" w:ascii="宋体" w:hAnsi="宋体" w:eastAsia="宋体" w:cs="宋体"/>
          <w:b/>
          <w:sz w:val="28"/>
          <w:szCs w:val="28"/>
          <w:highlight w:val="none"/>
        </w:rPr>
      </w:pPr>
      <w:r>
        <w:rPr>
          <w:rFonts w:hint="eastAsia" w:ascii="宋体" w:hAnsi="宋体" w:eastAsia="宋体" w:cs="宋体"/>
          <w:sz w:val="28"/>
          <w:szCs w:val="28"/>
          <w:highlight w:val="none"/>
        </w:rPr>
        <w:t>八、尊重和接受政府采购监督管理部门的监督和政府采购代理机构招标采购要求，承担因违约行为给采购人造成的损失。</w:t>
      </w:r>
    </w:p>
    <w:p>
      <w:pPr>
        <w:snapToGrid w:val="0"/>
        <w:spacing w:line="360" w:lineRule="auto"/>
        <w:ind w:firstLine="560" w:firstLineChars="200"/>
        <w:rPr>
          <w:rFonts w:hint="eastAsia" w:ascii="宋体" w:hAnsi="宋体" w:eastAsia="宋体" w:cs="宋体"/>
          <w:b/>
          <w:sz w:val="28"/>
          <w:szCs w:val="28"/>
          <w:highlight w:val="none"/>
        </w:rPr>
      </w:pPr>
      <w:r>
        <w:rPr>
          <w:rFonts w:hint="eastAsia" w:ascii="宋体" w:hAnsi="宋体" w:eastAsia="宋体" w:cs="宋体"/>
          <w:sz w:val="28"/>
          <w:szCs w:val="28"/>
          <w:highlight w:val="none"/>
        </w:rPr>
        <w:t>九、不发生其他有悖于政府采购公开、公平、公正和诚信原则的行为。</w:t>
      </w:r>
    </w:p>
    <w:p>
      <w:pPr>
        <w:snapToGrid w:val="0"/>
        <w:spacing w:line="360" w:lineRule="auto"/>
        <w:ind w:left="482"/>
        <w:rPr>
          <w:rFonts w:hint="eastAsia" w:ascii="宋体" w:hAnsi="宋体" w:eastAsia="宋体" w:cs="宋体"/>
          <w:sz w:val="28"/>
          <w:szCs w:val="28"/>
          <w:highlight w:val="none"/>
        </w:rPr>
      </w:pPr>
      <w:r>
        <w:rPr>
          <w:rFonts w:hint="eastAsia" w:ascii="宋体" w:hAnsi="宋体" w:eastAsia="宋体" w:cs="宋体"/>
          <w:sz w:val="28"/>
          <w:szCs w:val="28"/>
          <w:highlight w:val="none"/>
        </w:rPr>
        <w:t>承诺单位：（盖章）</w:t>
      </w:r>
    </w:p>
    <w:p>
      <w:pPr>
        <w:snapToGrid w:val="0"/>
        <w:spacing w:line="360" w:lineRule="auto"/>
        <w:ind w:left="482"/>
        <w:rPr>
          <w:rFonts w:hint="eastAsia" w:ascii="宋体" w:hAnsi="宋体" w:eastAsia="宋体" w:cs="宋体"/>
          <w:sz w:val="28"/>
          <w:szCs w:val="28"/>
          <w:highlight w:val="none"/>
        </w:rPr>
      </w:pPr>
      <w:r>
        <w:rPr>
          <w:rFonts w:hint="eastAsia" w:ascii="宋体" w:hAnsi="宋体" w:eastAsia="宋体" w:cs="宋体"/>
          <w:bCs/>
          <w:sz w:val="28"/>
          <w:szCs w:val="28"/>
          <w:highlight w:val="none"/>
        </w:rPr>
        <w:t>法定代表人或被授权人</w:t>
      </w:r>
      <w:r>
        <w:rPr>
          <w:rFonts w:hint="eastAsia" w:ascii="宋体" w:hAnsi="宋体" w:eastAsia="宋体" w:cs="宋体"/>
          <w:sz w:val="28"/>
          <w:szCs w:val="28"/>
          <w:highlight w:val="none"/>
        </w:rPr>
        <w:t>：（签字或盖章）</w:t>
      </w:r>
    </w:p>
    <w:p>
      <w:pPr>
        <w:snapToGrid w:val="0"/>
        <w:spacing w:line="360" w:lineRule="auto"/>
        <w:ind w:left="482"/>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地址：                             </w:t>
      </w:r>
    </w:p>
    <w:p>
      <w:pPr>
        <w:snapToGrid w:val="0"/>
        <w:spacing w:line="360" w:lineRule="auto"/>
        <w:ind w:left="482"/>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电话：     </w:t>
      </w:r>
    </w:p>
    <w:p>
      <w:pPr>
        <w:snapToGrid w:val="0"/>
        <w:spacing w:line="360" w:lineRule="auto"/>
        <w:ind w:left="482"/>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邮编：                                   </w:t>
      </w:r>
    </w:p>
    <w:p>
      <w:pPr>
        <w:tabs>
          <w:tab w:val="left" w:pos="5875"/>
        </w:tabs>
        <w:spacing w:line="360" w:lineRule="auto"/>
      </w:pPr>
      <w:r>
        <w:rPr>
          <w:rFonts w:hint="eastAsia" w:ascii="宋体" w:hAnsi="宋体" w:eastAsia="宋体" w:cs="宋体"/>
          <w:sz w:val="28"/>
          <w:szCs w:val="28"/>
          <w:highlight w:val="none"/>
        </w:rPr>
        <w:tab/>
      </w:r>
      <w:r>
        <w:rPr>
          <w:rFonts w:hint="eastAsia" w:ascii="宋体" w:hAnsi="宋体" w:eastAsia="宋体" w:cs="宋体"/>
          <w:sz w:val="28"/>
          <w:szCs w:val="28"/>
          <w:highlight w:val="none"/>
        </w:rPr>
        <w:t>年    月    日</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kZmI0M2JhYzVlYWM0ZDFkY2NiMDIxYTlhODgzYTQifQ=="/>
  </w:docVars>
  <w:rsids>
    <w:rsidRoot w:val="1F3C5978"/>
    <w:rsid w:val="0D527C6C"/>
    <w:rsid w:val="1F3C5978"/>
    <w:rsid w:val="3A005CBD"/>
    <w:rsid w:val="64D14B8A"/>
    <w:rsid w:val="71D32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3"/>
    <w:link w:val="9"/>
    <w:qFormat/>
    <w:uiPriority w:val="0"/>
    <w:pPr>
      <w:keepNext/>
      <w:keepLines/>
      <w:adjustRightInd w:val="0"/>
      <w:snapToGrid w:val="0"/>
      <w:spacing w:before="340" w:after="330" w:line="240" w:lineRule="auto"/>
      <w:jc w:val="center"/>
      <w:outlineLvl w:val="0"/>
    </w:pPr>
    <w:rPr>
      <w:rFonts w:asciiTheme="minorAscii" w:hAnsiTheme="minorAscii"/>
      <w:b/>
      <w:bCs/>
      <w:kern w:val="44"/>
      <w:sz w:val="44"/>
      <w:szCs w:val="44"/>
    </w:rPr>
  </w:style>
  <w:style w:type="paragraph" w:styleId="3">
    <w:name w:val="heading 2"/>
    <w:basedOn w:val="1"/>
    <w:next w:val="1"/>
    <w:link w:val="8"/>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character" w:default="1" w:styleId="6">
    <w:name w:val="Default Paragraph Font"/>
    <w:semiHidden/>
    <w:unhideWhenUsed/>
    <w:uiPriority w:val="1"/>
  </w:style>
  <w:style w:type="table" w:default="1" w:styleId="5">
    <w:name w:val="Normal Table"/>
    <w:semiHidden/>
    <w:uiPriority w:val="0"/>
    <w:tblPr>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character" w:styleId="7">
    <w:name w:val="Hyperlink"/>
    <w:basedOn w:val="6"/>
    <w:qFormat/>
    <w:uiPriority w:val="0"/>
    <w:rPr>
      <w:color w:val="0000FF"/>
      <w:u w:val="single"/>
    </w:rPr>
  </w:style>
  <w:style w:type="character" w:customStyle="1" w:styleId="8">
    <w:name w:val="标题 2 Char"/>
    <w:link w:val="3"/>
    <w:uiPriority w:val="0"/>
    <w:rPr>
      <w:rFonts w:ascii="Arial" w:hAnsi="Arial" w:eastAsia="宋体" w:cs="Times New Roman"/>
      <w:b/>
      <w:bCs/>
      <w:sz w:val="24"/>
      <w:szCs w:val="32"/>
    </w:rPr>
  </w:style>
  <w:style w:type="character" w:customStyle="1" w:styleId="9">
    <w:name w:val="标题 1 Char"/>
    <w:basedOn w:val="6"/>
    <w:link w:val="2"/>
    <w:qFormat/>
    <w:uiPriority w:val="99"/>
    <w:rPr>
      <w:rFonts w:asciiTheme="minorAscii" w:hAnsiTheme="minorAscii" w:eastAsiaTheme="minorEastAsia" w:cstheme="minorBidi"/>
      <w:b/>
      <w:bCs/>
      <w:kern w:val="44"/>
      <w:sz w:val="44"/>
      <w:szCs w:val="44"/>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Normal_38"/>
    <w:qFormat/>
    <w:uiPriority w:val="0"/>
    <w:pPr>
      <w:spacing w:before="120" w:after="240"/>
      <w:jc w:val="both"/>
    </w:pPr>
    <w:rPr>
      <w:rFonts w:ascii="Calibri" w:hAnsi="Calibri" w:eastAsia="Calibri" w:cs="Times New Roman"/>
      <w:sz w:val="22"/>
      <w:szCs w:val="22"/>
      <w:lang w:val="ru-RU"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2025-02-06T06:23:00Z</dcterms:created>
  <dc:creator>开瑞</dc:creator>
  <cp:lastModifiedBy>开瑞</cp:lastModifiedBy>
  <dcterms:modified xsi:type="dcterms:W3CDTF">2025-02-06T06:24:19Z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2BBB8D102BD94037914F9B4BA5CE7B65_11</vt:lpwstr>
  </property>
</Properties>
</file>