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版本号：SXWZ2025ZB-SXCB-24220251105001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“赋能城市发展”全媒体宣传项目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SXWZ2025ZB-SXCB-242</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“赋能城市发展”全媒体宣传项目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SXWZ2025ZB-SXCB-242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“赋能城市发展”全媒体宣传项目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“赋能城市发展”全媒体宣传项目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采购包1（“赋能城市发展”全媒体宣传项目）：属于专门面向中小企业采购。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3、税收缴纳证明：供应商提供本单位2025年1月至今已缴纳的至少一个月纳税证明或完税证明，依法免税的单位应提供相关证明材料；（以税款所属日期为准）</w:t>
      </w:r>
    </w:p>
    <w:p>
      <w:pPr>
        <w:pStyle w:val="null3"/>
      </w:pPr>
      <w:r>
        <w:rPr>
          <w:rFonts w:ascii="仿宋_GB2312" w:hAnsi="仿宋_GB2312" w:cs="仿宋_GB2312" w:eastAsia="仿宋_GB2312"/>
        </w:rPr>
        <w:t>4、财务状况证明：提供本单位经会计师事务所审计的2023年或2024年任意一年的财务审计报告(报告须带有二维码可验证)或在开标日期前六个月内其基本开户银行出具的资信证明；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6、授权书：非法定代表人参加投标，须提供法定代表人授权委托书及被授权人身份证；法定代表人参加投标时,须提供法定代表人身份证明书；</w:t>
      </w:r>
    </w:p>
    <w:p>
      <w:pPr>
        <w:pStyle w:val="null3"/>
      </w:pPr>
      <w:r>
        <w:rPr>
          <w:rFonts w:ascii="仿宋_GB2312" w:hAnsi="仿宋_GB2312" w:cs="仿宋_GB2312" w:eastAsia="仿宋_GB2312"/>
        </w:rPr>
        <w:t>7、中小企业声明函：本项目专门面向中小企业，供应商须提供中小企业声明函；</w:t>
      </w:r>
    </w:p>
    <w:p>
      <w:pPr>
        <w:pStyle w:val="null3"/>
      </w:pPr>
      <w:r>
        <w:rPr>
          <w:rFonts w:ascii="仿宋_GB2312" w:hAnsi="仿宋_GB2312" w:cs="仿宋_GB2312" w:eastAsia="仿宋_GB2312"/>
        </w:rPr>
        <w:t>8、本项目不接受联合体磋商：本项目不接受联合体磋商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029-86780671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 C 座 25 楼 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张刘艳 张航波 郝思思 薛毅凡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详见采购文件、响应文件和合同约定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 郝思思 薛毅凡</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地址：西安市高新区唐延路旺座现代城 C 座 25 楼 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“赋能城市发展”全媒体宣传项目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“赋能城市发展”全媒体宣传项目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标的名称：“赋能城市发展”全媒体宣传项目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一、项目内容</w:t>
            </w:r>
          </w:p>
          <w:p>
            <w:pPr>
              <w:pStyle w:val="null3"/>
              <w:ind w:firstLine="400"/>
              <w:jc w:val="both"/>
            </w:pPr>
            <w:r>
              <w:rPr>
                <w:rFonts w:ascii="仿宋_GB2312" w:hAnsi="仿宋_GB2312" w:cs="仿宋_GB2312" w:eastAsia="仿宋_GB2312"/>
              </w:rPr>
              <w:t>（一）项目规划</w:t>
            </w:r>
          </w:p>
          <w:p>
            <w:pPr>
              <w:pStyle w:val="null3"/>
              <w:ind w:firstLine="400"/>
              <w:jc w:val="both"/>
            </w:pPr>
            <w:r>
              <w:rPr>
                <w:rFonts w:ascii="仿宋_GB2312" w:hAnsi="仿宋_GB2312" w:cs="仿宋_GB2312" w:eastAsia="仿宋_GB2312"/>
              </w:rPr>
              <w:t>1.热点关注：立足省市、辐射全国，密切关注实时新闻热点。对外地话题度高的突发事件、热点事件及时跟进，以专业水准挖掘热点背后的深层信息，回应市民群众的普遍关切，主要以原创或二创短视频形式，充分利用新媒体矩阵广泛分发，形成网络影响力。</w:t>
            </w:r>
          </w:p>
          <w:p>
            <w:pPr>
              <w:pStyle w:val="null3"/>
              <w:ind w:firstLine="400"/>
              <w:jc w:val="both"/>
            </w:pPr>
            <w:r>
              <w:rPr>
                <w:rFonts w:ascii="仿宋_GB2312" w:hAnsi="仿宋_GB2312" w:cs="仿宋_GB2312" w:eastAsia="仿宋_GB2312"/>
              </w:rPr>
              <w:t>在涉及省市热点事件上，积极介入，让权威信源及时发声，充分利用新媒体矩阵进行传播引导，消解外界不实信息、谣言和杂音影响，维护城市形象。同时强化队伍能力建设，保障对域内域外热点的及时介入。以短视频为主，发布</w:t>
            </w:r>
            <w:r>
              <w:rPr>
                <w:rFonts w:ascii="仿宋_GB2312" w:hAnsi="仿宋_GB2312" w:cs="仿宋_GB2312" w:eastAsia="仿宋_GB2312"/>
              </w:rPr>
              <w:t>50期，每期1分钟以内。</w:t>
            </w:r>
          </w:p>
          <w:p>
            <w:pPr>
              <w:pStyle w:val="null3"/>
              <w:ind w:firstLine="400"/>
              <w:jc w:val="both"/>
            </w:pPr>
            <w:r>
              <w:rPr>
                <w:rFonts w:ascii="仿宋_GB2312" w:hAnsi="仿宋_GB2312" w:cs="仿宋_GB2312" w:eastAsia="仿宋_GB2312"/>
              </w:rPr>
              <w:t>2.“中国式现代化西安实践”专题展示：紧扣市委、市政府中心工作，聚焦创新立市、产业强市、文化兴市和为民实事等主题，开设相关全媒体专题，全面、深度展示我市经济社会高质量发展新动能、新成效。发布深度展示65期（每期含文、图）。</w:t>
            </w:r>
          </w:p>
          <w:p>
            <w:pPr>
              <w:pStyle w:val="null3"/>
              <w:ind w:firstLine="400"/>
              <w:jc w:val="both"/>
            </w:pPr>
            <w:r>
              <w:rPr>
                <w:rFonts w:ascii="仿宋_GB2312" w:hAnsi="仿宋_GB2312" w:cs="仿宋_GB2312" w:eastAsia="仿宋_GB2312"/>
              </w:rPr>
              <w:t>3.城市宣传视频：围绕市委、市政府中心工作，聚焦经济、政治、文化、社会、生态文明等多方面，尤其是“唐诗之都”建设、“情满长安”品牌打造等特色工作，以视频形式大力宣传西安城市形象。制作发布原创视频56期，每条3-5分钟。</w:t>
            </w:r>
          </w:p>
          <w:p>
            <w:pPr>
              <w:pStyle w:val="null3"/>
              <w:ind w:firstLine="400"/>
              <w:jc w:val="both"/>
            </w:pPr>
            <w:r>
              <w:rPr>
                <w:rFonts w:ascii="仿宋_GB2312" w:hAnsi="仿宋_GB2312" w:cs="仿宋_GB2312" w:eastAsia="仿宋_GB2312"/>
              </w:rPr>
              <w:t>4.西安人物故事：聚焦普通人的感人故事，展现西安的城市温度与力量。制作发布8期文图、视频，每条视频4分钟左右。</w:t>
            </w:r>
          </w:p>
          <w:p>
            <w:pPr>
              <w:pStyle w:val="null3"/>
              <w:ind w:firstLine="400"/>
              <w:jc w:val="both"/>
            </w:pPr>
            <w:r>
              <w:rPr>
                <w:rFonts w:ascii="仿宋_GB2312" w:hAnsi="仿宋_GB2312" w:cs="仿宋_GB2312" w:eastAsia="仿宋_GB2312"/>
              </w:rPr>
              <w:t>5.AI视频等新形态产品：将AI技术与内容深耕有机结合，以技术创新丰富内容形态，增强沉浸感。建立“AI西安”集中展示平台，制作推出“AI播报”轻量化视频150期、AI融媒产品20期。</w:t>
            </w:r>
          </w:p>
          <w:p>
            <w:pPr>
              <w:pStyle w:val="null3"/>
              <w:ind w:firstLine="400"/>
              <w:jc w:val="both"/>
            </w:pPr>
            <w:r>
              <w:rPr>
                <w:rFonts w:ascii="仿宋_GB2312" w:hAnsi="仿宋_GB2312" w:cs="仿宋_GB2312" w:eastAsia="仿宋_GB2312"/>
              </w:rPr>
              <w:t>6.原创融媒产品：围绕本地重大事件、重要节点、重要地标，制作刊发原创海报、H5等产品，以多样化融媒产品展示西安各领域高质量发展的生动实践。制作刊发海报100张、H5/长图20期。</w:t>
            </w:r>
          </w:p>
          <w:p>
            <w:pPr>
              <w:pStyle w:val="null3"/>
              <w:ind w:firstLine="400"/>
              <w:jc w:val="both"/>
            </w:pPr>
            <w:r>
              <w:rPr>
                <w:rFonts w:ascii="仿宋_GB2312" w:hAnsi="仿宋_GB2312" w:cs="仿宋_GB2312" w:eastAsia="仿宋_GB2312"/>
              </w:rPr>
              <w:t>（二）预期效果</w:t>
            </w:r>
          </w:p>
          <w:p>
            <w:pPr>
              <w:pStyle w:val="null3"/>
              <w:ind w:firstLine="400"/>
              <w:jc w:val="both"/>
            </w:pPr>
            <w:r>
              <w:rPr>
                <w:rFonts w:ascii="仿宋_GB2312" w:hAnsi="仿宋_GB2312" w:cs="仿宋_GB2312" w:eastAsia="仿宋_GB2312"/>
              </w:rPr>
              <w:t>通过该项目系统性策划传播，在执行期内推出热点关注内容</w:t>
            </w:r>
            <w:r>
              <w:rPr>
                <w:rFonts w:ascii="仿宋_GB2312" w:hAnsi="仿宋_GB2312" w:cs="仿宋_GB2312" w:eastAsia="仿宋_GB2312"/>
              </w:rPr>
              <w:t>50期、“中国式现代化西安实践”重点展示65期、城市宣传视频56期、西安人物正能量故事8期、“AI播报”轻量化视频150期、AI融媒产品20期，以及原创海报100张、H5/长图20期，预期实现全平台综合传播量超9000万，全面展示西安高质量发展成就和独特城市魅力，为创新推进中国式现代化西安实践营造良好的舆论氛围。。</w:t>
            </w:r>
          </w:p>
          <w:p>
            <w:pPr>
              <w:pStyle w:val="null3"/>
              <w:jc w:val="both"/>
            </w:pPr>
            <w:r>
              <w:rPr>
                <w:rFonts w:ascii="仿宋_GB2312" w:hAnsi="仿宋_GB2312" w:cs="仿宋_GB2312" w:eastAsia="仿宋_GB2312"/>
              </w:rPr>
              <w:t>二、采购内容：</w:t>
            </w:r>
          </w:p>
          <w:p>
            <w:pPr>
              <w:pStyle w:val="null3"/>
              <w:ind w:firstLine="400"/>
              <w:jc w:val="both"/>
            </w:pPr>
            <w:r>
              <w:rPr>
                <w:rFonts w:ascii="仿宋_GB2312" w:hAnsi="仿宋_GB2312" w:cs="仿宋_GB2312" w:eastAsia="仿宋_GB2312"/>
              </w:rPr>
              <w:t>项目紧扣市委、市政府中心工作，推出热点关注内容</w:t>
            </w:r>
            <w:r>
              <w:rPr>
                <w:rFonts w:ascii="仿宋_GB2312" w:hAnsi="仿宋_GB2312" w:cs="仿宋_GB2312" w:eastAsia="仿宋_GB2312"/>
              </w:rPr>
              <w:t>50期、“中国式现代化西安实践”原创深度稿件65期、城市宣传短视频56期、西安人物正能量故事8期、“AI播报”轻量化视频150期、AI融媒产品20期，以及原创海报100张、H5/长图20期，实现全平台综合传播量超7000万。</w:t>
            </w:r>
          </w:p>
          <w:p>
            <w:pPr>
              <w:pStyle w:val="null3"/>
              <w:jc w:val="both"/>
            </w:pPr>
            <w:r>
              <w:rPr>
                <w:rFonts w:ascii="仿宋_GB2312" w:hAnsi="仿宋_GB2312" w:cs="仿宋_GB2312" w:eastAsia="仿宋_GB2312"/>
              </w:rPr>
              <w:t>三、服务及验收要求</w:t>
            </w:r>
          </w:p>
          <w:p>
            <w:pPr>
              <w:pStyle w:val="null3"/>
            </w:pPr>
            <w:r>
              <w:rPr>
                <w:rFonts w:ascii="仿宋_GB2312" w:hAnsi="仿宋_GB2312" w:cs="仿宋_GB2312" w:eastAsia="仿宋_GB2312"/>
                <w:sz w:val="21"/>
              </w:rPr>
              <w:t>供应商结合我方要求，提供宣传策划方案，方案要求品牌定位明确、内容兼具多样性、适配性与可落地性，按照采购数量推出相应媒体产品，并在全网广泛传播，达到预期效果。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合同签订后至2026 年 09 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合同签订且供应商开具增值税发票后，以银行转账方式</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项目结束后，供应商出具结项报告，第三方验收完成后</w:t>
      </w:r>
      <w:r>
        <w:rPr>
          <w:rFonts w:ascii="仿宋_GB2312" w:hAnsi="仿宋_GB2312" w:cs="仿宋_GB2312" w:eastAsia="仿宋_GB2312"/>
        </w:rPr>
        <w:t xml:space="preserve"> ，达到付款条件起 </w:t>
      </w:r>
      <w:r>
        <w:rPr>
          <w:rFonts w:ascii="仿宋_GB2312" w:hAnsi="仿宋_GB2312" w:cs="仿宋_GB2312" w:eastAsia="仿宋_GB2312"/>
        </w:rPr>
        <w:t>45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 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 壹份。 纸质投标文件正副本均需胶装， 若电子投标文件与纸质投标文件不一致的，以在线提交的电子投标文件为准； 线下递交文件地点： 西安市高新区唐延路旺座现代城C座25楼2502室；若选择邮寄，请邮寄至旺座现代城C座25楼2502室。联系电话：029-88319689-8006 邮箱：sxwzzb@126.com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依据《中华人民共和国政府采购法》和《中华人民共和国政府采购法实施条例》的有关规定，落实政府采购“优先购买节能环保产品、扶持小微企业、残疾人就业、监狱企业、福利企业” 等相关政策。 1、《政府采购促进中小企业发展管理办法》（财库〔2020〕46号）； 2、《关于进一步加大政府采购支持中小企业力度的通知》财库〔2022〕19号；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供应商提供本单位2025年1月至今已缴纳的至少一个月纳税证明或完税证明，依法免税的单位应提供相关证明材料；（以税款所属日期为准）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提供本单位经会计师事务所审计的2023年或2024年任意一年的财务审计报告(报告须带有二维码可验证)或在开标日期前六个月内其基本开户银行出具的资信证明；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非法定代表人参加投标，须提供法定代表人授权委托书及被授权人身份证；法定代表人参加投标时,须提供法定代表人身份证明书；</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响应报价未超过预算或最高限价</w:t>
            </w:r>
          </w:p>
        </w:tc>
        <w:tc>
          <w:tcPr>
            <w:tcW w:type="dxa" w:w="1661"/>
          </w:tcPr>
          <w:p>
            <w:pPr>
              <w:pStyle w:val="null3"/>
            </w:pPr>
            <w:r>
              <w:rPr>
                <w:rFonts w:ascii="仿宋_GB2312" w:hAnsi="仿宋_GB2312" w:cs="仿宋_GB2312" w:eastAsia="仿宋_GB2312"/>
              </w:rPr>
              <w:t>01分项报价表.docx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响应文件签字、盖章满足竞争性磋商文件要求</w:t>
            </w:r>
          </w:p>
        </w:tc>
        <w:tc>
          <w:tcPr>
            <w:tcW w:type="dxa" w:w="1661"/>
          </w:tcPr>
          <w:p>
            <w:pPr>
              <w:pStyle w:val="null3"/>
            </w:pPr>
            <w:r>
              <w:rPr>
                <w:rFonts w:ascii="仿宋_GB2312" w:hAnsi="仿宋_GB2312" w:cs="仿宋_GB2312" w:eastAsia="仿宋_GB2312"/>
              </w:rPr>
              <w:t>响应文件封面 13.供应商业绩一览表.docx 01分项报价表.docx 02供应商资格证明资料.docx 中小企业声明函 3.商务和服务响应偏离表.docx 响应函 14.供应商承诺书.docx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与磋商文件商务要求条款一致未增加采购人难以接受的条款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符合法律法规和磋商文件规定的其他实质性要求</w:t>
            </w:r>
          </w:p>
        </w:tc>
        <w:tc>
          <w:tcPr>
            <w:tcW w:type="dxa" w:w="1661"/>
          </w:tcPr>
          <w:p>
            <w:pPr>
              <w:pStyle w:val="null3"/>
            </w:pPr>
            <w:r>
              <w:rPr>
                <w:rFonts w:ascii="仿宋_GB2312" w:hAnsi="仿宋_GB2312" w:cs="仿宋_GB2312" w:eastAsia="仿宋_GB2312"/>
              </w:rPr>
              <w:t>15.供应商认为其他有必要说明的其他问题.docx 3.商务和服务响应偏离表.docx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项目需求理解及分析</w:t>
            </w:r>
          </w:p>
        </w:tc>
        <w:tc>
          <w:tcPr>
            <w:tcW w:type="dxa" w:w="2492"/>
          </w:tcPr>
          <w:p>
            <w:pPr>
              <w:pStyle w:val="null3"/>
            </w:pPr>
            <w:r>
              <w:rPr>
                <w:rFonts w:ascii="仿宋_GB2312" w:hAnsi="仿宋_GB2312" w:cs="仿宋_GB2312" w:eastAsia="仿宋_GB2312"/>
              </w:rPr>
              <w:t>根据供应商针对本项目制定的需求响应方案，包括但不限于：①项目理解②需求响应及分析③项目重难点分析 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4.项目需求理解及分析.docx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提供①全媒体传播纸媒版面创作理念，理念独特，满足宣传需求；②全媒体传播海报创意思路，思路新颖，满足宣传需求；③全媒体传播短视频拍摄方案，方案完整、合理；④AI融媒体产品制作方案，能够满足项目要求；⑤具有严格的内容发布、审核流程管理方案。整体媒体传播方案全面有针对性，能充分利用各类媒体，能够全方位多角度宣传本次活动的重点亮点，有效扩大活动传播力、影响力、覆盖面。完全满足本项目需求每项计5分，本实施方案最高计25分，以上方案中每缺少一项内容扣5分；每有一处内容与实际需求不符或不满足要求或与本项目需求不切合或直接套用其他项目内容的扣0.5-4.5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5.实施方案.docx</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根据供应商针对本项目所提供的宣传方案，包括但不限于①宣传平台及渠道②宣传方式及宣传物料③宣传覆盖面，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6.宣传方案.docx</w:t>
            </w:r>
          </w:p>
        </w:tc>
      </w:tr>
      <w:tr>
        <w:tc>
          <w:tcPr>
            <w:tcW w:type="dxa" w:w="831"/>
            <w:vMerge/>
          </w:tcPr>
          <w:p/>
        </w:tc>
        <w:tc>
          <w:tcPr>
            <w:tcW w:type="dxa" w:w="1661"/>
          </w:tcPr>
          <w:p>
            <w:pPr>
              <w:pStyle w:val="null3"/>
            </w:pPr>
            <w:r>
              <w:rPr>
                <w:rFonts w:ascii="仿宋_GB2312" w:hAnsi="仿宋_GB2312" w:cs="仿宋_GB2312" w:eastAsia="仿宋_GB2312"/>
              </w:rPr>
              <w:t>设备保障方案</w:t>
            </w:r>
          </w:p>
        </w:tc>
        <w:tc>
          <w:tcPr>
            <w:tcW w:type="dxa" w:w="2492"/>
          </w:tcPr>
          <w:p>
            <w:pPr>
              <w:pStyle w:val="null3"/>
            </w:pPr>
            <w:r>
              <w:rPr>
                <w:rFonts w:ascii="仿宋_GB2312" w:hAnsi="仿宋_GB2312" w:cs="仿宋_GB2312" w:eastAsia="仿宋_GB2312"/>
              </w:rPr>
              <w:t>提供本次活动拟投入设备的保障方案，方案内容包括但不限于①设备来源（提供自有或租赁证明资料）②设备型号③设备种类④设备数量⑤承诺其成交后投入专业设备用于拍摄全景内容，确保拍摄和后期制作效果能够达到项目要求。完全符合本项目需求每项计2分，本实施方案最高计10分，以上方案中每缺少一项内容扣2分；每有一处内容与实际需求不符或不满足要求或与本项目需求不切合或直接套用其他项目内容的扣0.1-1.5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7.设备保障方案.docx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 具备较强的组织协调和统筹能力，具备丰富的类似项目的组织经验的，每提供1份，得1分，最高得2分。 评审依据：拟派项目负责人以往担任过类似项目负责人的相关证明材料（以合同复印件为准） 2、团队综合情况 ①拟派本项目人员数量完全满足项目服务要求，且人员具有文案、视觉、策划、视频、编辑人员等类似项目经验齐全面（需提供相关证明材料）；完全满足项目需求，岗位职责明晰有针对性得8分； ②拟派本项目人员数量基本满足项目服务要求，有部分人员有一定类似项目经验，（需提供相关证明材料）；基本满足项目需求，岗位职责不明确或无针对性得5分； ③拟派本项目人员数量基本满足项目服务要求，有部分人员有一定类似项目经验，岗位职责不明确或无针对性得2分； 评审依据：团队人员名单、学历证书、相关资格证书或其他证明材料等，并加盖供应商公章。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8.人员配备.docx</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根据本项目实际需求及特点，制定进度保障方案，方案包括：①各阶段工作流程；②进度计划目标；③进度控制措施。方案必须全面，对评审内容中的各项要求有详细描述，切合本项目实际情况，提出步骤清晰、合理的方案，方案能够紧扣项目实际情况，内容科学合理。完全符合本项目需求每项计2分，本实施方案最高计6分，以上方案中每缺少一项内容扣2分；每有一处内容与实际需求不符或不满足要求或与本项目需求不切合或直接套用其他项目内容的扣0.1-1.5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9.进度保障方案.docx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要求能够充分保证达到项目实施目的，有详细的服务承诺，且承诺内容具有可行性，满足采购人实际需求，定期向采购人进行工作的进展和工作阶段成果的例行汇报等。承诺全面可行得3分；承诺较好、可操作性较强得2分；承诺一般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10.服务承诺.docx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可能发生突发情况的应急预案，对可能发生的突发情况①具备详细的紧急处置方案②完善的防护措施，处置方案及防护措施全部内容均能对项目开展提供保障作用。完全符合本项目需求每项计3分，本实施方案最高计6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11.应急预案.docx</w:t>
            </w:r>
          </w:p>
        </w:tc>
      </w:tr>
      <w:tr>
        <w:tc>
          <w:tcPr>
            <w:tcW w:type="dxa" w:w="831"/>
            <w:vMerge/>
          </w:tcPr>
          <w:p/>
        </w:tc>
        <w:tc>
          <w:tcPr>
            <w:tcW w:type="dxa" w:w="1661"/>
          </w:tcPr>
          <w:p>
            <w:pPr>
              <w:pStyle w:val="null3"/>
            </w:pPr>
            <w:r>
              <w:rPr>
                <w:rFonts w:ascii="仿宋_GB2312" w:hAnsi="仿宋_GB2312" w:cs="仿宋_GB2312" w:eastAsia="仿宋_GB2312"/>
              </w:rPr>
              <w:t>知识产权承诺</w:t>
            </w:r>
          </w:p>
        </w:tc>
        <w:tc>
          <w:tcPr>
            <w:tcW w:type="dxa" w:w="2492"/>
          </w:tcPr>
          <w:p>
            <w:pPr>
              <w:pStyle w:val="null3"/>
            </w:pPr>
            <w:r>
              <w:rPr>
                <w:rFonts w:ascii="仿宋_GB2312" w:hAnsi="仿宋_GB2312" w:cs="仿宋_GB2312" w:eastAsia="仿宋_GB2312"/>
              </w:rPr>
              <w:t>供应商须承诺原创部分作品须有知识产权，不得抄袭。如作品中含有的非原创性的内容，包括画面、图文、视频等元素，必须确保无知识产权争议。如有任何侵权行为均由供应商承担相应责任和赔偿。 响应文件中提供以上内容的承诺书得2分，未提供不得分。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12.知识产权承诺.docx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 类似项目业绩合同或开展类似项目主要佐证材料，每提供一个计2分，最高计10分。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详见附件：4.项目需求理解及分析.docx</w:t>
      </w:r>
    </w:p>
    <w:p>
      <w:pPr>
        <w:pStyle w:val="null3"/>
        <w:ind w:firstLine="960"/>
      </w:pPr>
      <w:r>
        <w:rPr>
          <w:rFonts w:ascii="仿宋_GB2312" w:hAnsi="仿宋_GB2312" w:cs="仿宋_GB2312" w:eastAsia="仿宋_GB2312"/>
        </w:rPr>
        <w:t>详见附件：5.实施方案.docx</w:t>
      </w:r>
    </w:p>
    <w:p>
      <w:pPr>
        <w:pStyle w:val="null3"/>
        <w:ind w:firstLine="960"/>
      </w:pPr>
      <w:r>
        <w:rPr>
          <w:rFonts w:ascii="仿宋_GB2312" w:hAnsi="仿宋_GB2312" w:cs="仿宋_GB2312" w:eastAsia="仿宋_GB2312"/>
        </w:rPr>
        <w:t>详见附件：6.宣传方案.docx</w:t>
      </w:r>
    </w:p>
    <w:p>
      <w:pPr>
        <w:pStyle w:val="null3"/>
        <w:ind w:firstLine="960"/>
      </w:pPr>
      <w:r>
        <w:rPr>
          <w:rFonts w:ascii="仿宋_GB2312" w:hAnsi="仿宋_GB2312" w:cs="仿宋_GB2312" w:eastAsia="仿宋_GB2312"/>
        </w:rPr>
        <w:t>详见附件：7.设备保障方案.docx</w:t>
      </w:r>
    </w:p>
    <w:p>
      <w:pPr>
        <w:pStyle w:val="null3"/>
        <w:ind w:firstLine="960"/>
      </w:pPr>
      <w:r>
        <w:rPr>
          <w:rFonts w:ascii="仿宋_GB2312" w:hAnsi="仿宋_GB2312" w:cs="仿宋_GB2312" w:eastAsia="仿宋_GB2312"/>
        </w:rPr>
        <w:t>详见附件：8.人员配备.docx</w:t>
      </w:r>
    </w:p>
    <w:p>
      <w:pPr>
        <w:pStyle w:val="null3"/>
        <w:ind w:firstLine="960"/>
      </w:pPr>
      <w:r>
        <w:rPr>
          <w:rFonts w:ascii="仿宋_GB2312" w:hAnsi="仿宋_GB2312" w:cs="仿宋_GB2312" w:eastAsia="仿宋_GB2312"/>
        </w:rPr>
        <w:t>详见附件：9.进度保障方案.docx</w:t>
      </w:r>
    </w:p>
    <w:p>
      <w:pPr>
        <w:pStyle w:val="null3"/>
        <w:ind w:firstLine="960"/>
      </w:pPr>
      <w:r>
        <w:rPr>
          <w:rFonts w:ascii="仿宋_GB2312" w:hAnsi="仿宋_GB2312" w:cs="仿宋_GB2312" w:eastAsia="仿宋_GB2312"/>
        </w:rPr>
        <w:t>详见附件：10.服务承诺.docx</w:t>
      </w:r>
    </w:p>
    <w:p>
      <w:pPr>
        <w:pStyle w:val="null3"/>
        <w:ind w:firstLine="960"/>
      </w:pPr>
      <w:r>
        <w:rPr>
          <w:rFonts w:ascii="仿宋_GB2312" w:hAnsi="仿宋_GB2312" w:cs="仿宋_GB2312" w:eastAsia="仿宋_GB2312"/>
        </w:rPr>
        <w:t>详见附件：11.应急预案.docx</w:t>
      </w:r>
    </w:p>
    <w:p>
      <w:pPr>
        <w:pStyle w:val="null3"/>
        <w:ind w:firstLine="960"/>
      </w:pPr>
      <w:r>
        <w:rPr>
          <w:rFonts w:ascii="仿宋_GB2312" w:hAnsi="仿宋_GB2312" w:cs="仿宋_GB2312" w:eastAsia="仿宋_GB2312"/>
        </w:rPr>
        <w:t>详见附件：12.知识产权承诺.docx</w:t>
      </w:r>
    </w:p>
    <w:p>
      <w:pPr>
        <w:pStyle w:val="null3"/>
        <w:ind w:firstLine="960"/>
      </w:pPr>
      <w:r>
        <w:rPr>
          <w:rFonts w:ascii="仿宋_GB2312" w:hAnsi="仿宋_GB2312" w:cs="仿宋_GB2312" w:eastAsia="仿宋_GB2312"/>
        </w:rPr>
        <w:t>详见附件：13.供应商业绩一览表.docx</w:t>
      </w:r>
    </w:p>
    <w:p>
      <w:pPr>
        <w:pStyle w:val="null3"/>
        <w:ind w:firstLine="960"/>
      </w:pPr>
      <w:r>
        <w:rPr>
          <w:rFonts w:ascii="仿宋_GB2312" w:hAnsi="仿宋_GB2312" w:cs="仿宋_GB2312" w:eastAsia="仿宋_GB2312"/>
        </w:rPr>
        <w:t>详见附件：14.供应商承诺书.docx</w:t>
      </w:r>
    </w:p>
    <w:p>
      <w:pPr>
        <w:pStyle w:val="null3"/>
        <w:ind w:firstLine="960"/>
      </w:pPr>
      <w:r>
        <w:rPr>
          <w:rFonts w:ascii="仿宋_GB2312" w:hAnsi="仿宋_GB2312" w:cs="仿宋_GB2312" w:eastAsia="仿宋_GB2312"/>
        </w:rPr>
        <w:t>详见附件：15.供应商认为其他有必要说明的其他问题.docx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