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版本号：HSGJ2025-23720251105001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草堂基地安技防项目二期（一楼、四楼）安防工程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HSGJ2025-237</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草堂基地安技防项目二期（一楼、四楼）安防工程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草堂基地安技防项目二期（一楼、四楼）安防工程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草堂基地安技防项目二期（一楼、四楼）安防工程，具体内容详见第三章。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采购包1（草堂基地安技防项目二期（一楼、四楼）安防工程）：属于专门面向小微企业采购。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p>
      <w:pPr>
        <w:pStyle w:val="null3"/>
      </w:pPr>
      <w:r>
        <w:rPr>
          <w:rFonts w:ascii="仿宋_GB2312" w:hAnsi="仿宋_GB2312" w:cs="仿宋_GB2312" w:eastAsia="仿宋_GB2312"/>
        </w:rPr>
        <w:t>10、企业资质证书：供应商须具备建设行政主管部门颁发的电子与智能化工程专业承包二级及以上（含二级）资质（或调整后的同等级资质），并具有有效的安全生产许可证</w:t>
      </w:r>
    </w:p>
    <w:p>
      <w:pPr>
        <w:pStyle w:val="null3"/>
      </w:pPr>
      <w:r>
        <w:rPr>
          <w:rFonts w:ascii="仿宋_GB2312" w:hAnsi="仿宋_GB2312" w:cs="仿宋_GB2312" w:eastAsia="仿宋_GB2312"/>
        </w:rPr>
        <w:t>11、项目经理：拟派项目经理须具有机电工程专业二级及以上（含二级）注册建造师资格证书及具备有效的安全生产考核证书B证，在本单位注册且无在建项目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西安市新城区西七路266号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采购包1：712,376.08元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按标准计取。此服务费应计入磋商报价中，但不需要单独开列。 代理服务费账户： 收款单位：华晟国际项目管理有限公司 开户银行：建设银行西安劳动路支行 账 号：610501 740015 00000 427 转账事由：HSGJ2025-237成交服务费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712,376.08</w:t>
      </w:r>
    </w:p>
    <w:p>
      <w:pPr>
        <w:pStyle w:val="null3"/>
      </w:pPr>
      <w:r>
        <w:rPr>
          <w:rFonts w:ascii="仿宋_GB2312" w:hAnsi="仿宋_GB2312" w:cs="仿宋_GB2312" w:eastAsia="仿宋_GB2312"/>
        </w:rPr>
        <w:t>采购包最高限价（元）: 712,367.13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草堂基地安防项目（一楼、四楼）安防工程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712,376.08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标的名称：草堂基地安防项目（一楼、四楼）安防工程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一、项目基本情况</w:t>
            </w:r>
          </w:p>
          <w:tbl>
            <w:tblPr>
              <w:tblBorders>
                <w:top w:val="none" w:color="000000" w:sz="4"/>
                <w:left w:val="none" w:color="000000" w:sz="4"/>
                <w:bottom w:val="none" w:color="000000" w:sz="4"/>
                <w:right w:val="none" w:color="000000" w:sz="4"/>
                <w:insideH w:val="none"/>
                <w:insideV w:val="none"/>
              </w:tblBorders>
            </w:tblPr>
            <w:tblGrid>
              <w:gridCol w:w="205"/>
              <w:gridCol w:w="547"/>
              <w:gridCol w:w="1790"/>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1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说明与要求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工程名称</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草堂基地安技防项目二期（一楼、四楼）安防工程</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建设单位</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西安市文物保护考古研究院</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建设地点</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西安市高新区草堂镇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施工工期</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w:t>
                  </w:r>
                  <w:r>
                    <w:rPr>
                      <w:rFonts w:ascii="仿宋_GB2312" w:hAnsi="仿宋_GB2312" w:cs="仿宋_GB2312" w:eastAsia="仿宋_GB2312"/>
                      <w:sz w:val="21"/>
                    </w:rPr>
                    <w:t>签订之日起</w:t>
                  </w:r>
                  <w:r>
                    <w:rPr>
                      <w:rFonts w:ascii="仿宋_GB2312" w:hAnsi="仿宋_GB2312" w:cs="仿宋_GB2312" w:eastAsia="仿宋_GB2312"/>
                      <w:sz w:val="21"/>
                    </w:rPr>
                    <w:t>30天内完成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质量要求</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合格，并满足相关规范要求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勘察现场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由供应商自行勘察（因未勘察现场而导致的报价失误或对工程量清单理解产生歧义的后果自负）</w:t>
                  </w:r>
                </w:p>
              </w:tc>
            </w:tr>
          </w:tbl>
          <w:p>
            <w:pPr>
              <w:pStyle w:val="null3"/>
              <w:jc w:val="both"/>
            </w:pPr>
            <w:r>
              <w:rPr>
                <w:rFonts w:ascii="仿宋_GB2312" w:hAnsi="仿宋_GB2312" w:cs="仿宋_GB2312" w:eastAsia="仿宋_GB2312"/>
                <w:sz w:val="21"/>
                <w:b/>
              </w:rPr>
              <w:t>二、建设要求</w:t>
            </w:r>
          </w:p>
          <w:p>
            <w:pPr>
              <w:pStyle w:val="null3"/>
              <w:ind w:firstLine="420"/>
              <w:jc w:val="both"/>
            </w:pPr>
            <w:r>
              <w:rPr>
                <w:rFonts w:ascii="仿宋_GB2312" w:hAnsi="仿宋_GB2312" w:cs="仿宋_GB2312" w:eastAsia="仿宋_GB2312"/>
                <w:sz w:val="21"/>
              </w:rPr>
              <w:t>西安市文物保护考古研究院草堂基地文物藏品预计达到</w:t>
            </w:r>
            <w:r>
              <w:rPr>
                <w:rFonts w:ascii="仿宋_GB2312" w:hAnsi="仿宋_GB2312" w:cs="仿宋_GB2312" w:eastAsia="仿宋_GB2312"/>
                <w:sz w:val="21"/>
              </w:rPr>
              <w:t>50000件以上，根据GA27-2002的要求，因此西安市文物保护考古研究院草堂基地安全防护级别为一级。</w:t>
            </w:r>
          </w:p>
          <w:p>
            <w:pPr>
              <w:pStyle w:val="null3"/>
              <w:ind w:firstLine="420"/>
              <w:jc w:val="both"/>
            </w:pPr>
            <w:r>
              <w:rPr>
                <w:rFonts w:ascii="仿宋_GB2312" w:hAnsi="仿宋_GB2312" w:cs="仿宋_GB2312" w:eastAsia="仿宋_GB2312"/>
                <w:sz w:val="21"/>
              </w:rPr>
              <w:t>西安市文物保护考古研究院草堂基地安防项目一期完成西安市文物保护考古研究院草堂基地二楼、三楼的安防系统建设，包括视频监控、入侵报警、出入口控制、紧急广播等子系统。西安市文物保护考古研究院草堂基地安防项目二期安防工程将在一期建设基础上完成一楼、四楼安防系统的扩展建设，并将系统数据与一期融合，实现统一管理展示。</w:t>
            </w:r>
          </w:p>
          <w:p>
            <w:pPr>
              <w:pStyle w:val="null3"/>
              <w:jc w:val="both"/>
            </w:pPr>
            <w:r>
              <w:rPr>
                <w:rFonts w:ascii="仿宋_GB2312" w:hAnsi="仿宋_GB2312" w:cs="仿宋_GB2312" w:eastAsia="仿宋_GB2312"/>
                <w:sz w:val="21"/>
                <w:b/>
              </w:rPr>
              <w:t>三、技术标准和规范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1）所有施工和材料所涉及的标准规范（如产品标准/规范、工程标准/规范、验收标准/规范等）须完全符合所有中华人民共和国的标准及规范。包括但不限于（如有更新，以最新国家标准为准）：</w:t>
            </w:r>
          </w:p>
          <w:p>
            <w:pPr>
              <w:pStyle w:val="null3"/>
              <w:ind w:firstLine="420"/>
              <w:jc w:val="both"/>
            </w:pPr>
            <w:r>
              <w:rPr>
                <w:rFonts w:ascii="仿宋_GB2312" w:hAnsi="仿宋_GB2312" w:cs="仿宋_GB2312" w:eastAsia="仿宋_GB2312"/>
                <w:sz w:val="21"/>
              </w:rPr>
              <w:t>《安全防范工程技术标准》（</w:t>
            </w:r>
            <w:r>
              <w:rPr>
                <w:rFonts w:ascii="仿宋_GB2312" w:hAnsi="仿宋_GB2312" w:cs="仿宋_GB2312" w:eastAsia="仿宋_GB2312"/>
                <w:sz w:val="21"/>
              </w:rPr>
              <w:t>GB 50348-2018）；</w:t>
            </w:r>
          </w:p>
          <w:p>
            <w:pPr>
              <w:pStyle w:val="null3"/>
              <w:ind w:firstLine="420"/>
              <w:jc w:val="both"/>
            </w:pPr>
            <w:r>
              <w:rPr>
                <w:rFonts w:ascii="仿宋_GB2312" w:hAnsi="仿宋_GB2312" w:cs="仿宋_GB2312" w:eastAsia="仿宋_GB2312"/>
                <w:sz w:val="21"/>
              </w:rPr>
              <w:t>《安全防范工程通用规范》（</w:t>
            </w:r>
            <w:r>
              <w:rPr>
                <w:rFonts w:ascii="仿宋_GB2312" w:hAnsi="仿宋_GB2312" w:cs="仿宋_GB2312" w:eastAsia="仿宋_GB2312"/>
                <w:sz w:val="21"/>
              </w:rPr>
              <w:t>GB 55029-2022）；</w:t>
            </w:r>
          </w:p>
          <w:p>
            <w:pPr>
              <w:pStyle w:val="null3"/>
              <w:ind w:firstLine="420"/>
              <w:jc w:val="both"/>
            </w:pPr>
            <w:r>
              <w:rPr>
                <w:rFonts w:ascii="仿宋_GB2312" w:hAnsi="仿宋_GB2312" w:cs="仿宋_GB2312" w:eastAsia="仿宋_GB2312"/>
                <w:sz w:val="21"/>
              </w:rPr>
              <w:t>《博物馆和文物保护单位安全防范系统要求》（</w:t>
            </w:r>
            <w:r>
              <w:rPr>
                <w:rFonts w:ascii="仿宋_GB2312" w:hAnsi="仿宋_GB2312" w:cs="仿宋_GB2312" w:eastAsia="仿宋_GB2312"/>
                <w:sz w:val="21"/>
              </w:rPr>
              <w:t>GB/T 16571-2012）；</w:t>
            </w:r>
          </w:p>
          <w:p>
            <w:pPr>
              <w:pStyle w:val="null3"/>
              <w:ind w:firstLine="420"/>
              <w:jc w:val="both"/>
            </w:pPr>
            <w:r>
              <w:rPr>
                <w:rFonts w:ascii="仿宋_GB2312" w:hAnsi="仿宋_GB2312" w:cs="仿宋_GB2312" w:eastAsia="仿宋_GB2312"/>
                <w:sz w:val="21"/>
              </w:rPr>
              <w:t>《文物系统博物馆风险等级和安全防护级别的规定》（</w:t>
            </w:r>
            <w:r>
              <w:rPr>
                <w:rFonts w:ascii="仿宋_GB2312" w:hAnsi="仿宋_GB2312" w:cs="仿宋_GB2312" w:eastAsia="仿宋_GB2312"/>
                <w:sz w:val="21"/>
              </w:rPr>
              <w:t>GA27-2002）；</w:t>
            </w:r>
          </w:p>
          <w:p>
            <w:pPr>
              <w:pStyle w:val="null3"/>
              <w:ind w:firstLine="420"/>
              <w:jc w:val="both"/>
            </w:pPr>
            <w:r>
              <w:rPr>
                <w:rFonts w:ascii="仿宋_GB2312" w:hAnsi="仿宋_GB2312" w:cs="仿宋_GB2312" w:eastAsia="仿宋_GB2312"/>
                <w:sz w:val="21"/>
              </w:rPr>
              <w:t>《民用建筑电气设计规范》（</w:t>
            </w:r>
            <w:r>
              <w:rPr>
                <w:rFonts w:ascii="仿宋_GB2312" w:hAnsi="仿宋_GB2312" w:cs="仿宋_GB2312" w:eastAsia="仿宋_GB2312"/>
                <w:sz w:val="21"/>
              </w:rPr>
              <w:t>JGJ16－2008）；</w:t>
            </w:r>
          </w:p>
          <w:p>
            <w:pPr>
              <w:pStyle w:val="null3"/>
              <w:ind w:firstLine="420"/>
              <w:jc w:val="both"/>
            </w:pPr>
            <w:r>
              <w:rPr>
                <w:rFonts w:ascii="仿宋_GB2312" w:hAnsi="仿宋_GB2312" w:cs="仿宋_GB2312" w:eastAsia="仿宋_GB2312"/>
                <w:sz w:val="21"/>
              </w:rPr>
              <w:t>《电磁兼容试验和测量技术</w:t>
            </w:r>
            <w:r>
              <w:rPr>
                <w:rFonts w:ascii="仿宋_GB2312" w:hAnsi="仿宋_GB2312" w:cs="仿宋_GB2312" w:eastAsia="仿宋_GB2312"/>
                <w:sz w:val="21"/>
              </w:rPr>
              <w:t>射频电磁场辐射抗扰度试（</w:t>
            </w:r>
            <w:r>
              <w:rPr>
                <w:rFonts w:ascii="仿宋_GB2312" w:hAnsi="仿宋_GB2312" w:cs="仿宋_GB2312" w:eastAsia="仿宋_GB2312"/>
                <w:sz w:val="21"/>
              </w:rPr>
              <w:t>GB/T17626.3-2006）；</w:t>
            </w:r>
          </w:p>
          <w:p>
            <w:pPr>
              <w:pStyle w:val="null3"/>
              <w:ind w:firstLine="420"/>
              <w:jc w:val="both"/>
            </w:pPr>
            <w:r>
              <w:rPr>
                <w:rFonts w:ascii="仿宋_GB2312" w:hAnsi="仿宋_GB2312" w:cs="仿宋_GB2312" w:eastAsia="仿宋_GB2312"/>
                <w:sz w:val="21"/>
              </w:rPr>
              <w:t>《公共安全视频监控联网系统信息传输、交换、控制技术要求》（</w:t>
            </w:r>
            <w:r>
              <w:rPr>
                <w:rFonts w:ascii="仿宋_GB2312" w:hAnsi="仿宋_GB2312" w:cs="仿宋_GB2312" w:eastAsia="仿宋_GB2312"/>
                <w:sz w:val="21"/>
              </w:rPr>
              <w:t>GB/T28181-2016）；</w:t>
            </w:r>
          </w:p>
          <w:p>
            <w:pPr>
              <w:pStyle w:val="null3"/>
              <w:ind w:firstLine="420"/>
              <w:jc w:val="both"/>
            </w:pPr>
            <w:r>
              <w:rPr>
                <w:rFonts w:ascii="仿宋_GB2312" w:hAnsi="仿宋_GB2312" w:cs="仿宋_GB2312" w:eastAsia="仿宋_GB2312"/>
                <w:sz w:val="21"/>
              </w:rPr>
              <w:t>以及其他相关标准。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2）供应商采用其他标准和规范时，应在响应文件中注明所采用的标准，并应保证设备达到或优于国家规定的现行相关标准。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3）对国家规定有强制性规范或条例或认证要求的设备或材料，投标人提供的设备或材料应符合该类要求。</w:t>
            </w:r>
          </w:p>
          <w:p>
            <w:pPr>
              <w:pStyle w:val="null3"/>
              <w:jc w:val="both"/>
            </w:pPr>
            <w:r>
              <w:rPr>
                <w:rFonts w:ascii="仿宋_GB2312" w:hAnsi="仿宋_GB2312" w:cs="仿宋_GB2312" w:eastAsia="仿宋_GB2312"/>
                <w:sz w:val="21"/>
                <w:b/>
              </w:rPr>
              <w:t>四、项目工程量清单</w:t>
            </w:r>
          </w:p>
          <w:p>
            <w:pPr>
              <w:pStyle w:val="null3"/>
              <w:jc w:val="both"/>
            </w:pPr>
            <w:r>
              <w:rPr>
                <w:rFonts w:ascii="仿宋_GB2312" w:hAnsi="仿宋_GB2312" w:cs="仿宋_GB2312" w:eastAsia="仿宋_GB2312"/>
                <w:sz w:val="21"/>
                <w:b/>
              </w:rPr>
              <w:t>注：项目工程量清单</w:t>
            </w:r>
            <w:r>
              <w:rPr>
                <w:rFonts w:ascii="仿宋_GB2312" w:hAnsi="仿宋_GB2312" w:cs="仿宋_GB2312" w:eastAsia="仿宋_GB2312"/>
                <w:sz w:val="21"/>
                <w:b/>
              </w:rPr>
              <w:t>见磋商文件附件</w:t>
            </w:r>
            <w:r>
              <w:rPr>
                <w:rFonts w:ascii="仿宋_GB2312" w:hAnsi="仿宋_GB2312" w:cs="仿宋_GB2312" w:eastAsia="仿宋_GB2312"/>
                <w:sz w:val="21"/>
              </w:rPr>
              <w:t>。</w:t>
            </w:r>
            <w:r>
              <w:rPr>
                <w:rFonts w:ascii="仿宋_GB2312" w:hAnsi="仿宋_GB2312" w:cs="仿宋_GB2312" w:eastAsia="仿宋_GB2312"/>
                <w:sz w:val="21"/>
              </w:rPr>
              <w:t>广联达计价软件版本号：</w:t>
            </w:r>
            <w:r>
              <w:rPr>
                <w:rFonts w:ascii="仿宋_GB2312" w:hAnsi="仿宋_GB2312" w:cs="仿宋_GB2312" w:eastAsia="仿宋_GB2312"/>
                <w:sz w:val="21"/>
              </w:rPr>
              <w:t>GCCP7.0-7.5000.23.1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合格，并满足相关规范要求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30天内完成；2、质量要求：合格，并满足相关规范要求；3、建设地点：西安市高新区草堂镇;4、磋商报价：为供应商完成本项目所需的全部费用（包括设备材料费、人工费、安装调试费、辅材费、包装运输费及税费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供应商须具备建设行政主管部门颁发的电子与智能化工程专业承包二级及以上（含二级）资质（或调整后的同等级资质），并具有有效的安全生产许可证</w:t>
            </w:r>
          </w:p>
        </w:tc>
        <w:tc>
          <w:tcPr>
            <w:tcW w:type="dxa" w:w="1661"/>
          </w:tcPr>
          <w:p>
            <w:pPr>
              <w:pStyle w:val="null3"/>
            </w:pPr>
            <w:r>
              <w:rPr>
                <w:rFonts w:ascii="仿宋_GB2312" w:hAnsi="仿宋_GB2312" w:cs="仿宋_GB2312" w:eastAsia="仿宋_GB2312"/>
              </w:rPr>
              <w:t>2资质证明文件（参考格式）.docx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拟派项目经理须具有机电工程专业二级及以上（含二级）注册建造师资格证书及具备有效的安全生产考核证书B证，在本单位注册且无在建项目</w:t>
            </w:r>
          </w:p>
        </w:tc>
        <w:tc>
          <w:tcPr>
            <w:tcW w:type="dxa" w:w="1661"/>
          </w:tcPr>
          <w:p>
            <w:pPr>
              <w:pStyle w:val="null3"/>
            </w:pPr>
            <w:r>
              <w:rPr>
                <w:rFonts w:ascii="仿宋_GB2312" w:hAnsi="仿宋_GB2312" w:cs="仿宋_GB2312" w:eastAsia="仿宋_GB2312"/>
              </w:rPr>
              <w:t>2资质证明文件（参考格式）.docx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5已标价工程量清单.docx 1商务响应表.docx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4供应商拒绝政府采购领域商业贿赂承诺书.docx 5已标价工程量清单.docx 1商务响应表.docx 报价函 标的清单 响应函 2资质证明文件（参考格式）.docx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4供应商拒绝政府采购领域商业贿赂承诺书.docx 5已标价工程量清单.docx 1商务响应表.docx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供应商磋商报价的总价超过最高限价，作为不实质性响应磋商文件处理。</w:t>
            </w:r>
          </w:p>
        </w:tc>
        <w:tc>
          <w:tcPr>
            <w:tcW w:type="dxa" w:w="1661"/>
          </w:tcPr>
          <w:p>
            <w:pPr>
              <w:pStyle w:val="null3"/>
            </w:pPr>
            <w:r>
              <w:rPr>
                <w:rFonts w:ascii="仿宋_GB2312" w:hAnsi="仿宋_GB2312" w:cs="仿宋_GB2312" w:eastAsia="仿宋_GB2312"/>
              </w:rPr>
              <w:t>5已标价工程量清单.docx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对本项目需求理解及合理化建议</w:t>
            </w:r>
          </w:p>
        </w:tc>
        <w:tc>
          <w:tcPr>
            <w:tcW w:type="dxa" w:w="2492"/>
          </w:tcPr>
          <w:p>
            <w:pPr>
              <w:pStyle w:val="null3"/>
            </w:pPr>
            <w:r>
              <w:rPr>
                <w:rFonts w:ascii="仿宋_GB2312" w:hAnsi="仿宋_GB2312" w:cs="仿宋_GB2312" w:eastAsia="仿宋_GB2312"/>
              </w:rPr>
              <w:t>一、评审内容 针对本项目采购需求理解及合理化建议，包括但不限于 ①对本项目的实施对象结合现场情况的技术方案包括对工程需求理解、建设防护目标、设备安装布置点位、线路图等技术方案说明；②重点难点工程分析及解决措施；③针对本项目的合理化建议。 二、评审标准 1、完善性：方案必须全面详细完整，对评审内容中的各项要求有详细阐述； 2、可实施性：切合本项目实际情况，提出步骤清晰、合理的方案； 3、针对性：方案能够紧扣项目实际情况，图纸详实、与技术方案紧密结合、可行性规范性强且内容科学合理。 上述3项评审内容全部满足评审标准得6分，每有一个评审内容缺项扣2分，每有一项评审内容存在缺陷，扣（0.5-2）分，扣完为止。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一、评审内容 针对本项目提供具体可行的实施方案，包括但不限于 ①对本项目的施工组织；②详细的实施计划、包括但不限于对货物安防子系统设计说明、设备安装布置点位、线路等；③具有健全产品安装、检测、调试、试运行及验收方案。 二、评审标准 1、完善性：方案必须全面，对评审内容中的各项要求有详细阐述； 2、可实施性：切合本项目实际情况，提出步骤清晰、 合理的方案； 3、针对性：方案能够紧扣项目实际情况，内容科学合理。 上述3项评审内容全部满足评审标准得9分，每有一个评审内容缺项扣3分，每有一项评审内容存在缺陷，扣（0.5-3）分，扣完为止。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供应商各项技术参数的响应情况，由评委进行评审。带▲的技术参数完全满足磋商文件要求得10分，每负偏离1项扣1分，扣完为止。一般技术参数完全满足磋商文件要求的得5分，每负偏离1项扣0.5分，扣完为止。（详见技术参数要求响应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设备供货方案</w:t>
            </w:r>
          </w:p>
        </w:tc>
        <w:tc>
          <w:tcPr>
            <w:tcW w:type="dxa" w:w="2492"/>
          </w:tcPr>
          <w:p>
            <w:pPr>
              <w:pStyle w:val="null3"/>
            </w:pPr>
            <w:r>
              <w:rPr>
                <w:rFonts w:ascii="仿宋_GB2312" w:hAnsi="仿宋_GB2312" w:cs="仿宋_GB2312" w:eastAsia="仿宋_GB2312"/>
              </w:rPr>
              <w:t>一、评审内容 针对本项目提供具体可行的设备供货方案，包括但不限于①供货计划②具体详细设备规格描述，主要设备配置先进、选型科学合理，配置齐全；③确保设备供应渠道正规、质量保证、检验手续合法有效、无产权纠纷。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上述3项评审内容全部满足评审标准得9分，每有一个评审内容缺项扣3分，每有一项评审内容存在缺陷，扣0.5-3 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的人员配备（包括但不限于技术负责人、施工员、质量员、安全员、电工、特殊工种焊工，须同时提供上述人员对应的执业资格证书和2025年1月至今任意1个月社保缴纳证明）。以上条件每有一个人员全部满足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售后服务方案及承诺；②具有建全的售后服务机构、配备本地化专职维修人员；③承诺维修服务具体时限与优惠措施；④提供具体的培训方案、培训内容、培训方式等 二、评审标准 1、完善性：方案必须全面，对评审内容中的各项要求有详细阐述； 2、可实施性：切合本项目实际情况，提出步骤清晰、 合理的方案； 3、针对性：方案能够紧扣项目实际情况，内容科学合理。 上述4项评审内容全部满足评审标准得8 分，每有一个评审内容缺项扣2分，每有一项评审内容存在缺陷，扣（0.5-2）分，扣完为止。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投标人针对本项目提供保障措施，包括但不限于①工程质量保障措施②安全文明施工保障措施③环境保护措施④施工中的文物保护措施。 二、评审标准 1、完善性：方案必须全面，对评审内容中的各项要求有详细阐述； 2、可实施性：切合本项目实际情况，提出步骤清晰、 合理的方案； 3、针对性：方案能够紧扣项目实际情况，内容科学合理。 上述4项评审内容全部满足评审标准得4分，每有一个评审内容缺项扣1 分，每有一项评审内容存在缺陷，扣（0.5-1）分，扣完为止。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根据本项目特点制定应急方案，方案应包括但不限于 ①设备故障响应时限②维修服务到场响应时限③备品备件不足的紧急措施④应急突发状况处置措施。 二、评审标准 1、完善性：方案必须全面，对评审内容中的各项要求有详细阐述； 2、可实施性：切合本项目实际情况，提出步骤清晰、合理的方案； 3、针对性：方案能够紧扣项目实际情况，内容科学合理。 上述4 项评审内容全部满足评审标准得8分，每有一个评审内容缺项扣2分，每有一项评审内容存在缺陷，扣（0.5-2）分，扣完为止。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供应商提供2022年1月起至今类似业绩合同，每一项1分，（以合同签订时间为准），一个业绩1分，最高得5分。注：提供完整证明资料复印件（含中标通知书、采购合同）加盖公章，资料不完整不得分。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 满足磋商文件要求且最终磋商报价最低的磋商报价为评标基准价，其价格分为满分。价格分按照下列公式计算。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详见附件：1商务响应表.docx</w:t>
      </w:r>
    </w:p>
    <w:p>
      <w:pPr>
        <w:pStyle w:val="null3"/>
        <w:ind w:firstLine="960"/>
      </w:pPr>
      <w:r>
        <w:rPr>
          <w:rFonts w:ascii="仿宋_GB2312" w:hAnsi="仿宋_GB2312" w:cs="仿宋_GB2312" w:eastAsia="仿宋_GB2312"/>
        </w:rPr>
        <w:t>详见附件：2资质证明文件（参考格式）.docx</w:t>
      </w:r>
    </w:p>
    <w:p>
      <w:pPr>
        <w:pStyle w:val="null3"/>
        <w:ind w:firstLine="960"/>
      </w:pPr>
      <w:r>
        <w:rPr>
          <w:rFonts w:ascii="仿宋_GB2312" w:hAnsi="仿宋_GB2312" w:cs="仿宋_GB2312" w:eastAsia="仿宋_GB2312"/>
        </w:rPr>
        <w:t>详见附件：3实施方案.docx</w:t>
      </w:r>
    </w:p>
    <w:p>
      <w:pPr>
        <w:pStyle w:val="null3"/>
        <w:ind w:firstLine="960"/>
      </w:pPr>
      <w:r>
        <w:rPr>
          <w:rFonts w:ascii="仿宋_GB2312" w:hAnsi="仿宋_GB2312" w:cs="仿宋_GB2312" w:eastAsia="仿宋_GB2312"/>
        </w:rPr>
        <w:t>详见附件：4供应商拒绝政府采购领域商业贿赂承诺书.docx</w:t>
      </w:r>
    </w:p>
    <w:p>
      <w:pPr>
        <w:pStyle w:val="null3"/>
        <w:ind w:firstLine="960"/>
      </w:pPr>
      <w:r>
        <w:rPr>
          <w:rFonts w:ascii="仿宋_GB2312" w:hAnsi="仿宋_GB2312" w:cs="仿宋_GB2312" w:eastAsia="仿宋_GB2312"/>
        </w:rPr>
        <w:t>详见附件：5已标价工程量清单.docx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