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版本号：SXYSTH-2025-019-0120251110003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市住建局办公场所搬迁服务项目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SXYSTH-2025-019-01</w:t>
      </w:r>
      <w:r>
        <w:br/>
      </w:r>
      <w:r>
        <w:br/>
      </w:r>
      <w:r>
        <w:br/>
      </w:r>
    </w:p>
    <w:p>
      <w:pPr>
        <w:pStyle w:val="null3"/>
        <w:jc w:val="center"/>
        <w:outlineLvl w:val="2"/>
      </w:pPr>
      <w:r>
        <w:rPr>
          <w:rFonts w:ascii="仿宋_GB2312" w:hAnsi="仿宋_GB2312" w:cs="仿宋_GB2312" w:eastAsia="仿宋_GB2312"/>
          <w:sz w:val="28"/>
          <w:b/>
        </w:rPr>
        <w:t>西安市住房和城乡建设局（本级）</w:t>
      </w:r>
    </w:p>
    <w:p>
      <w:pPr>
        <w:pStyle w:val="null3"/>
        <w:jc w:val="center"/>
        <w:outlineLvl w:val="2"/>
      </w:pPr>
      <w:r>
        <w:rPr>
          <w:rFonts w:ascii="仿宋_GB2312" w:hAnsi="仿宋_GB2312" w:cs="仿宋_GB2312" w:eastAsia="仿宋_GB2312"/>
          <w:sz w:val="28"/>
          <w:b/>
        </w:rPr>
        <w:t>陕西亿商通合项目管理有限公司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陕西亿商通合项目管理有限公司</w:t>
      </w:r>
      <w:r>
        <w:rPr>
          <w:rFonts w:ascii="仿宋_GB2312" w:hAnsi="仿宋_GB2312" w:cs="仿宋_GB2312" w:eastAsia="仿宋_GB2312"/>
        </w:rPr>
        <w:t>（以下简称“代理机构”）受</w:t>
      </w:r>
      <w:r>
        <w:rPr>
          <w:rFonts w:ascii="仿宋_GB2312" w:hAnsi="仿宋_GB2312" w:cs="仿宋_GB2312" w:eastAsia="仿宋_GB2312"/>
        </w:rPr>
        <w:t>西安市住房和城乡建设局（本级）</w:t>
      </w:r>
      <w:r>
        <w:rPr>
          <w:rFonts w:ascii="仿宋_GB2312" w:hAnsi="仿宋_GB2312" w:cs="仿宋_GB2312" w:eastAsia="仿宋_GB2312"/>
        </w:rPr>
        <w:t>委托，拟对</w:t>
      </w:r>
      <w:r>
        <w:rPr>
          <w:rFonts w:ascii="仿宋_GB2312" w:hAnsi="仿宋_GB2312" w:cs="仿宋_GB2312" w:eastAsia="仿宋_GB2312"/>
        </w:rPr>
        <w:t>市住建局办公场所搬迁服务项目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SXYSTH-2025-019-01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市住建局办公场所搬迁服务项目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为适应市住建局工作需要对，1. 西安市雁塔区雁南五路300-9号A座（起点）→西安市长安国金中心（终点），局机关及驻局6家事业单位。 2. 西大街房产交易大厦（起点）→西安市长安国金中心（终点），保障中心、消防中心。 3. 东县门58号（起点）→西大街房产交易大厦（终点），征收中心；进行搬迁。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采购包1（市住建局办公场所搬迁服务项目）：属于专门面向中小企业采购。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1、营业执照等主体资格证明文件：供应商具有独立承担民事责任能力的法人、其他组织或自然人，并出具合法有效的营业执照或事业单位法人证书等国家规定的相关证明， 自然人参与的提供其身份证明。</w:t>
      </w:r>
    </w:p>
    <w:p>
      <w:pPr>
        <w:pStyle w:val="null3"/>
      </w:pPr>
      <w:r>
        <w:rPr>
          <w:rFonts w:ascii="仿宋_GB2312" w:hAnsi="仿宋_GB2312" w:cs="仿宋_GB2312" w:eastAsia="仿宋_GB2312"/>
        </w:rPr>
        <w:t>2、财务要求：提供2023年或2024年度经审计的财务报告（成立时间至提交响应文件截止时间不足一年的可提供成立后任意时段的资产负债表），或开标前三个月内基本存款账户开户银行出具的资信证明及基本存款账户开户许可证（或基本账户信息表）。</w:t>
      </w:r>
    </w:p>
    <w:p>
      <w:pPr>
        <w:pStyle w:val="null3"/>
      </w:pPr>
      <w:r>
        <w:rPr>
          <w:rFonts w:ascii="仿宋_GB2312" w:hAnsi="仿宋_GB2312" w:cs="仿宋_GB2312" w:eastAsia="仿宋_GB2312"/>
        </w:rPr>
        <w:t>3、税收缴纳证明：提供响应文件递交截止日前6个月内已缴纳的至少一个月的纳税证明或完税证明，依法免税的单位应提供相关证明材料。</w:t>
      </w:r>
    </w:p>
    <w:p>
      <w:pPr>
        <w:pStyle w:val="null3"/>
      </w:pPr>
      <w:r>
        <w:rPr>
          <w:rFonts w:ascii="仿宋_GB2312" w:hAnsi="仿宋_GB2312" w:cs="仿宋_GB2312" w:eastAsia="仿宋_GB2312"/>
        </w:rPr>
        <w:t>4、社会保障资金缴纳证明：提供响应文件递交截止日前6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5、无违法记录：参加政府采购活动前3年内，在经营活动中没有重大违法记录的书面声明。</w:t>
      </w:r>
    </w:p>
    <w:p>
      <w:pPr>
        <w:pStyle w:val="null3"/>
      </w:pPr>
      <w:r>
        <w:rPr>
          <w:rFonts w:ascii="仿宋_GB2312" w:hAnsi="仿宋_GB2312" w:cs="仿宋_GB2312" w:eastAsia="仿宋_GB2312"/>
        </w:rPr>
        <w:t>6、书面声明：提供具有履行本合同所必需的设备和专业技术能力的声明。</w:t>
      </w:r>
    </w:p>
    <w:p>
      <w:pPr>
        <w:pStyle w:val="null3"/>
      </w:pPr>
      <w:r>
        <w:rPr>
          <w:rFonts w:ascii="仿宋_GB2312" w:hAnsi="仿宋_GB2312" w:cs="仿宋_GB2312" w:eastAsia="仿宋_GB2312"/>
        </w:rPr>
        <w:t>7、信誉记录：不得为“信用中国” 网站中列入“失信被执行人或重大税收违法失信主体或政府采购严重违法失信行为记录名单” 的供应商；不得为中国政府采购网“政府采购严重违法失信行为记录名单” 中的供应商。</w:t>
      </w:r>
    </w:p>
    <w:p>
      <w:pPr>
        <w:pStyle w:val="null3"/>
      </w:pPr>
      <w:r>
        <w:rPr>
          <w:rFonts w:ascii="仿宋_GB2312" w:hAnsi="仿宋_GB2312" w:cs="仿宋_GB2312" w:eastAsia="仿宋_GB2312"/>
        </w:rPr>
        <w:t>8、控股关系：单位负责人为同一人或者存在直接控股、管理关系的不同供应商，不得参加同一合同下的政府采购活动。</w:t>
      </w:r>
    </w:p>
    <w:p>
      <w:pPr>
        <w:pStyle w:val="null3"/>
      </w:pPr>
      <w:r>
        <w:rPr>
          <w:rFonts w:ascii="仿宋_GB2312" w:hAnsi="仿宋_GB2312" w:cs="仿宋_GB2312" w:eastAsia="仿宋_GB2312"/>
        </w:rPr>
        <w:t>9、联合体要求：本项目不接受联合体磋商。</w:t>
      </w:r>
    </w:p>
    <w:p>
      <w:pPr>
        <w:pStyle w:val="null3"/>
      </w:pPr>
      <w:r>
        <w:rPr>
          <w:rFonts w:ascii="仿宋_GB2312" w:hAnsi="仿宋_GB2312" w:cs="仿宋_GB2312" w:eastAsia="仿宋_GB2312"/>
        </w:rPr>
        <w:t>10、是否专门面向中小企业：本项目专门面向中小企业采购；须符合《政府采购促进中小企业发展管理办法》（财库〔2020〕46号）规定的中小企业参加。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西安市住房和城乡建设局（本级）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西安市雁塔南路300-9号A座西安建设大厦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西安市住房和城乡建设局（本级）经办王晓霞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81204175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陕西亿商通合项目管理有限公司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陕西省西安市市本级陕西省西咸新区沣西新城康定路以南先河之星1号商业楼办公16层4号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迟淞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029-88682368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领取成交通知书前，须向采购代理机构一次性支付采购代理服务费，采购代理服务费参照《国家计委关于印发&lt;招标代理服务收费管理暂行办法&gt;的通知》（计价格[2002]1980号文件）、《国家发展改革委关于降低部分建设项目收费标准规范收费行为等有关问题的通知》（发改价格[2011]534号）和采购代理合同约定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西安市住房和城乡建设局（本级）</w:t>
      </w:r>
      <w:r>
        <w:rPr>
          <w:rFonts w:ascii="仿宋_GB2312" w:hAnsi="仿宋_GB2312" w:cs="仿宋_GB2312" w:eastAsia="仿宋_GB2312"/>
        </w:rPr>
        <w:t>和</w:t>
      </w:r>
      <w:r>
        <w:rPr>
          <w:rFonts w:ascii="仿宋_GB2312" w:hAnsi="仿宋_GB2312" w:cs="仿宋_GB2312" w:eastAsia="仿宋_GB2312"/>
        </w:rPr>
        <w:t>陕西亿商通合项目管理有限公司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西安市住房和城乡建设局（本级）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陕西亿商通合项目管理有限公司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西安市住房和城乡建设局（本级）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陕西亿商通合项目管理有限公司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按《财政部关于进一步加强政府采购需求和履约验收管理的指导意见》 （财库&lt;2016&gt;33号）的规定，完成服务内容，质量合格，依法组织履约验收工作。</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陕西亿商通合项目管理有限公司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陕西亿商通合项目管理有限公司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陕西亿商通合项目管理有限公司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联系人：迟淞</w:t>
      </w:r>
    </w:p>
    <w:p>
      <w:pPr>
        <w:pStyle w:val="null3"/>
      </w:pPr>
      <w:r>
        <w:rPr>
          <w:rFonts w:ascii="仿宋_GB2312" w:hAnsi="仿宋_GB2312" w:cs="仿宋_GB2312" w:eastAsia="仿宋_GB2312"/>
        </w:rPr>
        <w:t>联系电话：029-88682368</w:t>
      </w:r>
    </w:p>
    <w:p>
      <w:pPr>
        <w:pStyle w:val="null3"/>
      </w:pPr>
      <w:r>
        <w:rPr>
          <w:rFonts w:ascii="仿宋_GB2312" w:hAnsi="仿宋_GB2312" w:cs="仿宋_GB2312" w:eastAsia="仿宋_GB2312"/>
        </w:rPr>
        <w:t>地址：陕西西咸新区沣西新城康定路以南先河之星1号商业楼办公16层4号</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为适应市住建局工作需要对，1. 西安市雁塔区雁南五路300-9号A座（起点）→西安市长安国金中心（终点），局机关及驻局6家事业单位。 2. 西大街房产交易大厦（起点）→西安市长安国金中心（终点），保障中心、消防中心。 3. 东县门58号（起点）→西大街房产交易大厦（终点），征收中心；进行搬迁。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市住建局搬迁服务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标的名称：市住建局搬迁服务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color w:val="000000"/>
              </w:rPr>
              <w:t>一、项目概况</w:t>
            </w:r>
          </w:p>
          <w:p>
            <w:pPr>
              <w:pStyle w:val="null3"/>
              <w:jc w:val="left"/>
            </w:pPr>
            <w:r>
              <w:rPr>
                <w:rFonts w:ascii="仿宋_GB2312" w:hAnsi="仿宋_GB2312" w:cs="仿宋_GB2312" w:eastAsia="仿宋_GB2312"/>
                <w:sz w:val="24"/>
                <w:color w:val="000000"/>
              </w:rPr>
              <w:t>（一）搬迁主体：西安市住房和城乡建设局</w:t>
            </w:r>
          </w:p>
          <w:p>
            <w:pPr>
              <w:pStyle w:val="null3"/>
              <w:jc w:val="left"/>
            </w:pPr>
            <w:r>
              <w:rPr>
                <w:rFonts w:ascii="仿宋_GB2312" w:hAnsi="仿宋_GB2312" w:cs="仿宋_GB2312" w:eastAsia="仿宋_GB2312"/>
                <w:sz w:val="24"/>
                <w:color w:val="000000"/>
              </w:rPr>
              <w:t>（二）搬迁地点：</w:t>
            </w:r>
          </w:p>
          <w:p>
            <w:pPr>
              <w:pStyle w:val="null3"/>
              <w:jc w:val="left"/>
            </w:pPr>
            <w:r>
              <w:rPr>
                <w:rFonts w:ascii="仿宋_GB2312" w:hAnsi="仿宋_GB2312" w:cs="仿宋_GB2312" w:eastAsia="仿宋_GB2312"/>
                <w:sz w:val="24"/>
                <w:color w:val="000000"/>
              </w:rPr>
              <w:t>1. 西安市雁塔区雁南五路300-9号A座（起点）→西安市长安国金中心（终点），局机关及驻局6家事业单位。</w:t>
            </w:r>
          </w:p>
          <w:p>
            <w:pPr>
              <w:pStyle w:val="null3"/>
              <w:jc w:val="left"/>
            </w:pPr>
            <w:r>
              <w:rPr>
                <w:rFonts w:ascii="仿宋_GB2312" w:hAnsi="仿宋_GB2312" w:cs="仿宋_GB2312" w:eastAsia="仿宋_GB2312"/>
                <w:sz w:val="24"/>
                <w:color w:val="000000"/>
              </w:rPr>
              <w:t>2. 西大街房产交易大厦（起点）→西安市长安国金中心（终点），保障中心、消防中心。</w:t>
            </w:r>
          </w:p>
          <w:p>
            <w:pPr>
              <w:pStyle w:val="null3"/>
              <w:jc w:val="left"/>
            </w:pPr>
            <w:r>
              <w:rPr>
                <w:rFonts w:ascii="仿宋_GB2312" w:hAnsi="仿宋_GB2312" w:cs="仿宋_GB2312" w:eastAsia="仿宋_GB2312"/>
                <w:sz w:val="24"/>
                <w:color w:val="000000"/>
              </w:rPr>
              <w:t>3. 东县门58号（起点）→西大街房产交易大厦（终点），征收中心。</w:t>
            </w:r>
          </w:p>
          <w:p>
            <w:pPr>
              <w:pStyle w:val="null3"/>
              <w:jc w:val="left"/>
            </w:pPr>
            <w:r>
              <w:rPr>
                <w:rFonts w:ascii="仿宋_GB2312" w:hAnsi="仿宋_GB2312" w:cs="仿宋_GB2312" w:eastAsia="仿宋_GB2312"/>
                <w:sz w:val="24"/>
                <w:color w:val="000000"/>
              </w:rPr>
              <w:t>（三）拟搬迁日期：</w:t>
            </w:r>
            <w:r>
              <w:rPr>
                <w:rFonts w:ascii="仿宋_GB2312" w:hAnsi="仿宋_GB2312" w:cs="仿宋_GB2312" w:eastAsia="仿宋_GB2312"/>
                <w:sz w:val="24"/>
                <w:color w:val="000000"/>
              </w:rPr>
              <w:t>2025年11月下旬</w:t>
            </w:r>
          </w:p>
          <w:p>
            <w:pPr>
              <w:pStyle w:val="null3"/>
              <w:jc w:val="left"/>
            </w:pPr>
            <w:r>
              <w:rPr>
                <w:rFonts w:ascii="仿宋_GB2312" w:hAnsi="仿宋_GB2312" w:cs="仿宋_GB2312" w:eastAsia="仿宋_GB2312"/>
                <w:sz w:val="24"/>
                <w:color w:val="000000"/>
              </w:rPr>
              <w:t>（四）预算金额：</w:t>
            </w:r>
            <w:r>
              <w:rPr>
                <w:rFonts w:ascii="仿宋_GB2312" w:hAnsi="仿宋_GB2312" w:cs="仿宋_GB2312" w:eastAsia="仿宋_GB2312"/>
                <w:sz w:val="24"/>
                <w:color w:val="000000"/>
              </w:rPr>
              <w:t>80万元</w:t>
            </w:r>
          </w:p>
          <w:p>
            <w:pPr>
              <w:pStyle w:val="null3"/>
              <w:jc w:val="left"/>
            </w:pPr>
            <w:r>
              <w:rPr>
                <w:rFonts w:ascii="仿宋_GB2312" w:hAnsi="仿宋_GB2312" w:cs="仿宋_GB2312" w:eastAsia="仿宋_GB2312"/>
                <w:sz w:val="24"/>
                <w:color w:val="000000"/>
              </w:rPr>
              <w:t>（五）搬迁内容：办公室资料搬迁、电子设备包装防护装箱搬迁、档案搬迁下架编号装箱搬运上架排序、会议室会议屏拆除安装调式系统更新、机房搬迁建设、设备拆除安装布线系统更新</w:t>
            </w:r>
            <w:r>
              <w:rPr>
                <w:rFonts w:ascii="仿宋_GB2312" w:hAnsi="仿宋_GB2312" w:cs="仿宋_GB2312" w:eastAsia="仿宋_GB2312"/>
                <w:sz w:val="24"/>
                <w:color w:val="000000"/>
              </w:rPr>
              <w:t>到位</w:t>
            </w:r>
            <w:r>
              <w:rPr>
                <w:rFonts w:ascii="仿宋_GB2312" w:hAnsi="仿宋_GB2312" w:cs="仿宋_GB2312" w:eastAsia="仿宋_GB2312"/>
                <w:sz w:val="24"/>
                <w:color w:val="000000"/>
              </w:rPr>
              <w:t>；其他需要搬迁的资料、设备物品等</w:t>
            </w:r>
            <w:r>
              <w:rPr>
                <w:rFonts w:ascii="仿宋_GB2312" w:hAnsi="仿宋_GB2312" w:cs="仿宋_GB2312" w:eastAsia="仿宋_GB2312"/>
                <w:sz w:val="24"/>
                <w:color w:val="000000"/>
              </w:rPr>
              <w:t>搬迁到位</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二、搬迁范围与服务要求</w:t>
            </w:r>
          </w:p>
          <w:p>
            <w:pPr>
              <w:pStyle w:val="null3"/>
              <w:jc w:val="left"/>
            </w:pPr>
            <w:r>
              <w:rPr>
                <w:rFonts w:ascii="仿宋_GB2312" w:hAnsi="仿宋_GB2312" w:cs="仿宋_GB2312" w:eastAsia="仿宋_GB2312"/>
                <w:sz w:val="24"/>
                <w:color w:val="000000"/>
              </w:rPr>
              <w:t>（一）物品范围</w:t>
            </w:r>
          </w:p>
          <w:p>
            <w:pPr>
              <w:pStyle w:val="null3"/>
              <w:jc w:val="left"/>
            </w:pPr>
            <w:r>
              <w:rPr>
                <w:rFonts w:ascii="仿宋_GB2312" w:hAnsi="仿宋_GB2312" w:cs="仿宋_GB2312" w:eastAsia="仿宋_GB2312"/>
                <w:sz w:val="24"/>
                <w:color w:val="000000"/>
              </w:rPr>
              <w:t>包含物品：办公资料、电子设备、电脑设备（台式机、笔记本、打印机、复印机等）、服务器及网络设备、个人物品、档案文件（盒数）、会议室设备等，但不限于采购单位指定需要搬迁的其他物品。</w:t>
            </w:r>
          </w:p>
          <w:p>
            <w:pPr>
              <w:pStyle w:val="null3"/>
              <w:jc w:val="left"/>
            </w:pPr>
            <w:r>
              <w:rPr>
                <w:rFonts w:ascii="仿宋_GB2312" w:hAnsi="仿宋_GB2312" w:cs="仿宋_GB2312" w:eastAsia="仿宋_GB2312"/>
                <w:sz w:val="24"/>
                <w:color w:val="000000"/>
              </w:rPr>
              <w:t>特殊物品：会议室会议屏拆除安装调式系统更新、机房搬迁建设、值班设备拆除安装布线及系统更新</w:t>
            </w:r>
            <w:r>
              <w:rPr>
                <w:rFonts w:ascii="仿宋_GB2312" w:hAnsi="仿宋_GB2312" w:cs="仿宋_GB2312" w:eastAsia="仿宋_GB2312"/>
                <w:sz w:val="24"/>
                <w:color w:val="000000"/>
              </w:rPr>
              <w:t>到位</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（二）服务内容要求</w:t>
            </w:r>
          </w:p>
          <w:p>
            <w:pPr>
              <w:pStyle w:val="null3"/>
              <w:jc w:val="left"/>
            </w:pPr>
            <w:r>
              <w:rPr>
                <w:rFonts w:ascii="仿宋_GB2312" w:hAnsi="仿宋_GB2312" w:cs="仿宋_GB2312" w:eastAsia="仿宋_GB2312"/>
                <w:sz w:val="24"/>
                <w:color w:val="000000"/>
              </w:rPr>
              <w:t>1. 打包服务</w:t>
            </w:r>
          </w:p>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1）要求供应商提供打包材料（纸箱、气泡膜、胶带、标签等）；</w:t>
            </w:r>
          </w:p>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2）要求供应商负责物品打包（电脑需单独包装并标注、易碎品特殊防护、文件箱封箱要求等）；</w:t>
            </w:r>
          </w:p>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3）供应商要提供档案资料上下架编号排序；</w:t>
            </w:r>
          </w:p>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4）供应商要做好保护措施，物品安全到位，新旧至地面、电梯防护；</w:t>
            </w:r>
          </w:p>
          <w:p>
            <w:pPr>
              <w:pStyle w:val="null3"/>
              <w:jc w:val="left"/>
            </w:pPr>
            <w:r>
              <w:rPr>
                <w:rFonts w:ascii="仿宋_GB2312" w:hAnsi="仿宋_GB2312" w:cs="仿宋_GB2312" w:eastAsia="仿宋_GB2312"/>
                <w:sz w:val="24"/>
                <w:color w:val="000000"/>
              </w:rPr>
              <w:t>2. 搬运服务</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1）所需车辆类型、数量及尺寸要求（4.2米厢式货车），搬运方式要求人工搬运；</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2）物品装车、运输途中、卸车的防护要求（防雨、防震、防刮擦、固定措施等）；</w:t>
            </w:r>
          </w:p>
          <w:p>
            <w:pPr>
              <w:pStyle w:val="null3"/>
              <w:jc w:val="left"/>
            </w:pPr>
            <w:r>
              <w:rPr>
                <w:rFonts w:ascii="仿宋_GB2312" w:hAnsi="仿宋_GB2312" w:cs="仿宋_GB2312" w:eastAsia="仿宋_GB2312"/>
                <w:sz w:val="24"/>
                <w:color w:val="000000"/>
              </w:rPr>
              <w:t>3. 特殊物品处理</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1）设备机房需专业技术人员配合，做好防震等特殊运输要求。</w:t>
            </w:r>
          </w:p>
          <w:p>
            <w:pPr>
              <w:pStyle w:val="null3"/>
              <w:jc w:val="left"/>
            </w:pPr>
            <w:r>
              <w:rPr>
                <w:rFonts w:ascii="仿宋_GB2312" w:hAnsi="仿宋_GB2312" w:cs="仿宋_GB2312" w:eastAsia="仿宋_GB2312"/>
                <w:sz w:val="24"/>
                <w:color w:val="000000"/>
              </w:rPr>
              <w:t>4. 现场管理要求</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1）需要项目经理全程现场协调；</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2）对服务人员数量、工作规范做好要求；</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3）安全作业要求（遵守现场安全规定、佩戴安全装备等）。</w:t>
            </w:r>
          </w:p>
          <w:p>
            <w:pPr>
              <w:pStyle w:val="null3"/>
              <w:jc w:val="left"/>
            </w:pPr>
            <w:r>
              <w:rPr>
                <w:rFonts w:ascii="仿宋_GB2312" w:hAnsi="仿宋_GB2312" w:cs="仿宋_GB2312" w:eastAsia="仿宋_GB2312"/>
                <w:sz w:val="24"/>
                <w:color w:val="000000"/>
              </w:rPr>
              <w:t>5. 其他要求：供应商要制定搬迁计划进度日报、应急预案。</w:t>
            </w:r>
          </w:p>
          <w:p>
            <w:pPr>
              <w:pStyle w:val="null3"/>
              <w:jc w:val="left"/>
            </w:pPr>
            <w:r>
              <w:rPr>
                <w:rFonts w:ascii="仿宋_GB2312" w:hAnsi="仿宋_GB2312" w:cs="仿宋_GB2312" w:eastAsia="仿宋_GB2312"/>
                <w:sz w:val="24"/>
                <w:color w:val="000000"/>
              </w:rPr>
              <w:t>三、采购具体需求</w:t>
            </w:r>
          </w:p>
          <w:p>
            <w:pPr>
              <w:pStyle w:val="null3"/>
              <w:jc w:val="left"/>
            </w:pPr>
            <w:r>
              <w:rPr>
                <w:rFonts w:ascii="仿宋_GB2312" w:hAnsi="仿宋_GB2312" w:cs="仿宋_GB2312" w:eastAsia="仿宋_GB2312"/>
                <w:sz w:val="24"/>
                <w:color w:val="000000"/>
              </w:rPr>
              <w:t>本次搬迁内容（见附表）分为：</w:t>
            </w:r>
          </w:p>
          <w:p>
            <w:pPr>
              <w:pStyle w:val="null3"/>
              <w:jc w:val="left"/>
            </w:pPr>
            <w:r>
              <w:rPr>
                <w:rFonts w:ascii="仿宋_GB2312" w:hAnsi="仿宋_GB2312" w:cs="仿宋_GB2312" w:eastAsia="仿宋_GB2312"/>
                <w:sz w:val="24"/>
                <w:color w:val="000000"/>
              </w:rPr>
              <w:t>（一）办公物品搬迁：办公设备、纸质资料、档案及其他各类物品；</w:t>
            </w:r>
          </w:p>
          <w:p>
            <w:pPr>
              <w:pStyle w:val="null3"/>
              <w:jc w:val="left"/>
            </w:pPr>
            <w:r>
              <w:rPr>
                <w:rFonts w:ascii="仿宋_GB2312" w:hAnsi="仿宋_GB2312" w:cs="仿宋_GB2312" w:eastAsia="仿宋_GB2312"/>
                <w:sz w:val="24"/>
                <w:color w:val="000000"/>
              </w:rPr>
              <w:t>（二）机房设备搬迁与调试：核心服务器、网络设备、存储设备等机房内关键信息设备；</w:t>
            </w:r>
          </w:p>
          <w:p>
            <w:pPr>
              <w:pStyle w:val="null3"/>
              <w:jc w:val="left"/>
            </w:pPr>
            <w:r>
              <w:rPr>
                <w:rFonts w:ascii="仿宋_GB2312" w:hAnsi="仿宋_GB2312" w:cs="仿宋_GB2312" w:eastAsia="仿宋_GB2312"/>
                <w:sz w:val="24"/>
                <w:color w:val="000000"/>
              </w:rPr>
              <w:t>（三）会议室设备迁移与安装：</w:t>
            </w:r>
            <w:r>
              <w:rPr>
                <w:rFonts w:ascii="仿宋_GB2312" w:hAnsi="仿宋_GB2312" w:cs="仿宋_GB2312" w:eastAsia="仿宋_GB2312"/>
                <w:sz w:val="24"/>
                <w:color w:val="000000"/>
              </w:rPr>
              <w:t>2间会议室、1间视频调度室（LED屏、音视频系统、电视电话会议系统等）及相关设备。</w:t>
            </w:r>
          </w:p>
          <w:p>
            <w:pPr>
              <w:pStyle w:val="null3"/>
              <w:jc w:val="left"/>
            </w:pPr>
            <w:r>
              <w:rPr>
                <w:rFonts w:ascii="仿宋_GB2312" w:hAnsi="仿宋_GB2312" w:cs="仿宋_GB2312" w:eastAsia="仿宋_GB2312"/>
                <w:sz w:val="24"/>
                <w:color w:val="000000"/>
              </w:rPr>
              <w:t>（四）保险要求：此次搬迁项目必须购买的货物运输险额度全程投保，保额不低于物品总价值的</w:t>
            </w:r>
            <w:r>
              <w:rPr>
                <w:rFonts w:ascii="仿宋_GB2312" w:hAnsi="仿宋_GB2312" w:cs="仿宋_GB2312" w:eastAsia="仿宋_GB2312"/>
                <w:sz w:val="24"/>
                <w:color w:val="000000"/>
              </w:rPr>
              <w:t>80%；搬迁过程中如有损坏的物品，</w:t>
            </w:r>
            <w:r>
              <w:rPr>
                <w:rFonts w:ascii="仿宋_GB2312" w:hAnsi="仿宋_GB2312" w:cs="仿宋_GB2312" w:eastAsia="仿宋_GB2312"/>
                <w:sz w:val="24"/>
                <w:color w:val="000000"/>
              </w:rPr>
              <w:t>按照重要程度照价</w:t>
            </w:r>
            <w:r>
              <w:rPr>
                <w:rFonts w:ascii="仿宋_GB2312" w:hAnsi="仿宋_GB2312" w:cs="仿宋_GB2312" w:eastAsia="仿宋_GB2312"/>
                <w:sz w:val="24"/>
                <w:color w:val="000000"/>
              </w:rPr>
              <w:t>赔偿。</w:t>
            </w:r>
          </w:p>
          <w:p>
            <w:pPr>
              <w:pStyle w:val="null3"/>
              <w:jc w:val="left"/>
            </w:pPr>
            <w:r>
              <w:rPr>
                <w:rFonts w:ascii="仿宋_GB2312" w:hAnsi="仿宋_GB2312" w:cs="仿宋_GB2312" w:eastAsia="仿宋_GB2312"/>
                <w:sz w:val="24"/>
                <w:color w:val="000000"/>
              </w:rPr>
              <w:t>（五）保密要求：供应商在档案的造册下架、编号、装箱、运输、上架等过程中，必须严格执行《中华人民共和国档案法》《中华人民共和国保密法》及国家、行业以及采购人制定的相关保密规定，符合国家相关数字信息资源安全管理标准的要求，履行相关保密职责，签订保密协议和保密承诺书，确保搬迁档案信息安全。</w:t>
            </w:r>
          </w:p>
          <w:p>
            <w:pPr>
              <w:pStyle w:val="null3"/>
              <w:ind w:left="390"/>
              <w:jc w:val="left"/>
            </w:pPr>
            <w:r>
              <w:rPr>
                <w:rFonts w:ascii="仿宋_GB2312" w:hAnsi="仿宋_GB2312" w:cs="仿宋_GB2312" w:eastAsia="仿宋_GB2312"/>
                <w:sz w:val="24"/>
                <w:color w:val="000000"/>
              </w:rPr>
              <w:t>搬迁物品及设备清单</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办公物品搬迁</w:t>
            </w:r>
            <w:r>
              <w:rPr>
                <w:rFonts w:ascii="仿宋_GB2312" w:hAnsi="仿宋_GB2312" w:cs="仿宋_GB2312" w:eastAsia="仿宋_GB2312"/>
                <w:sz w:val="24"/>
                <w:color w:val="000000"/>
              </w:rPr>
              <w:t>：</w:t>
            </w:r>
          </w:p>
          <w:p>
            <w:pPr>
              <w:pStyle w:val="null3"/>
              <w:ind w:left="39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38个处室单位219间办公室、6间档案室、71间仓库搬迁（车辆规格4.2米*1.9米*1.9米厢式货车）</w:t>
            </w:r>
            <w:r>
              <w:rPr>
                <w:rFonts w:ascii="仿宋_GB2312" w:hAnsi="仿宋_GB2312" w:cs="仿宋_GB2312" w:eastAsia="仿宋_GB2312"/>
                <w:sz w:val="24"/>
                <w:color w:val="000000"/>
              </w:rPr>
              <w:t>；</w:t>
            </w:r>
            <w:r>
              <w:rPr>
                <w:rFonts w:ascii="仿宋_GB2312" w:hAnsi="仿宋_GB2312" w:cs="仿宋_GB2312" w:eastAsia="仿宋_GB2312"/>
                <w:sz w:val="21"/>
                <w:color w:val="000000"/>
              </w:rPr>
              <w:t>数量：</w:t>
            </w:r>
            <w:r>
              <w:rPr>
                <w:rFonts w:ascii="仿宋_GB2312" w:hAnsi="仿宋_GB2312" w:cs="仿宋_GB2312" w:eastAsia="仿宋_GB2312"/>
                <w:sz w:val="21"/>
                <w:color w:val="000000"/>
              </w:rPr>
              <w:t>285；单位：车；</w:t>
            </w:r>
          </w:p>
          <w:p>
            <w:pPr>
              <w:pStyle w:val="null3"/>
              <w:ind w:left="39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2）办公设备（电脑、复印机、打印机、碎纸机、传真机等）；数量：1194；单位：件；</w:t>
            </w:r>
          </w:p>
          <w:p>
            <w:pPr>
              <w:pStyle w:val="null3"/>
              <w:ind w:left="39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3）办公资料、物品所需纸箱数纸箱规格：（0.6公分*0.5公分*0.4公分）；数量：6700；单位：个；</w:t>
            </w:r>
          </w:p>
          <w:p>
            <w:pPr>
              <w:pStyle w:val="null3"/>
              <w:ind w:left="39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71间库房资料数量</w:t>
            </w:r>
            <w:r>
              <w:rPr>
                <w:rFonts w:ascii="仿宋_GB2312" w:hAnsi="仿宋_GB2312" w:cs="仿宋_GB2312" w:eastAsia="仿宋_GB2312"/>
                <w:sz w:val="24"/>
                <w:color w:val="000000"/>
              </w:rPr>
              <w:t>；</w:t>
            </w:r>
            <w:r>
              <w:rPr>
                <w:rFonts w:ascii="仿宋_GB2312" w:hAnsi="仿宋_GB2312" w:cs="仿宋_GB2312" w:eastAsia="仿宋_GB2312"/>
                <w:sz w:val="21"/>
                <w:color w:val="000000"/>
              </w:rPr>
              <w:t>数量：</w:t>
            </w:r>
            <w:r>
              <w:rPr>
                <w:rFonts w:ascii="仿宋_GB2312" w:hAnsi="仿宋_GB2312" w:cs="仿宋_GB2312" w:eastAsia="仿宋_GB2312"/>
                <w:sz w:val="21"/>
                <w:color w:val="000000"/>
              </w:rPr>
              <w:t>213；单位：立方米；</w:t>
            </w:r>
          </w:p>
          <w:p>
            <w:pPr>
              <w:pStyle w:val="null3"/>
              <w:ind w:left="39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5）机房及会议室设备包装防护；数量：65；单位：立方米；</w:t>
            </w:r>
          </w:p>
          <w:p>
            <w:pPr>
              <w:pStyle w:val="null3"/>
              <w:ind w:left="39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6）机房及会议室设备搬运及运输；数量：15；单位：车；</w:t>
            </w:r>
          </w:p>
          <w:p>
            <w:pPr>
              <w:pStyle w:val="null3"/>
              <w:ind w:left="39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7）局档案室档案柜，档案下架、装箱、按序上架；数量：59250；单位：盒；</w:t>
            </w:r>
          </w:p>
          <w:p>
            <w:pPr>
              <w:pStyle w:val="null3"/>
              <w:ind w:left="39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8）地面防护；数量：2000；单位：平米；</w:t>
            </w:r>
          </w:p>
          <w:p>
            <w:pPr>
              <w:pStyle w:val="null3"/>
              <w:ind w:left="39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9）电梯防护；数量：6；单位：部；</w:t>
            </w:r>
          </w:p>
          <w:p>
            <w:pPr>
              <w:pStyle w:val="null3"/>
              <w:jc w:val="left"/>
            </w:pPr>
            <w:r>
              <w:rPr>
                <w:rFonts w:ascii="仿宋_GB2312" w:hAnsi="仿宋_GB2312" w:cs="仿宋_GB2312" w:eastAsia="仿宋_GB2312"/>
                <w:sz w:val="24"/>
                <w:color w:val="000000"/>
              </w:rPr>
              <w:t xml:space="preserve">2、机房设备搬迁与调试： </w:t>
            </w:r>
            <w:r>
              <w:rPr>
                <w:rFonts w:ascii="仿宋_GB2312" w:hAnsi="仿宋_GB2312" w:cs="仿宋_GB2312" w:eastAsia="仿宋_GB2312"/>
                <w:sz w:val="21"/>
                <w:color w:val="000000"/>
              </w:rPr>
              <w:t>整体数量：</w:t>
            </w:r>
            <w:r>
              <w:rPr>
                <w:rFonts w:ascii="仿宋_GB2312" w:hAnsi="仿宋_GB2312" w:cs="仿宋_GB2312" w:eastAsia="仿宋_GB2312"/>
                <w:sz w:val="21"/>
                <w:color w:val="000000"/>
              </w:rPr>
              <w:t>1；单位：项；</w:t>
            </w:r>
          </w:p>
          <w:p>
            <w:pPr>
              <w:pStyle w:val="null3"/>
              <w:ind w:left="39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机房设备搬迁工作，包含14台设备（防火墙、控制器、配线架、交换机、动环设备、服务器、OA服务器）下架、设备配置及业务数据备份、设备安全防护、设备搬迁、设备上架、设备安装、设备连接及设备调试和网络连通性测试等工作；</w:t>
            </w:r>
          </w:p>
          <w:p>
            <w:pPr>
              <w:pStyle w:val="null3"/>
              <w:ind w:left="39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.提供终端机制跳线（约800余根）和电话语音跳线、光纤跳线、标签带、扎带等辅材，并做好终端电脑的网络连接等工作</w:t>
            </w:r>
          </w:p>
          <w:p>
            <w:pPr>
              <w:pStyle w:val="null3"/>
              <w:ind w:left="39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3）.提供1台不少于48口全光交换机及1台防火墙设备用于新办公地址网络连通性测试及应用测试；</w:t>
            </w:r>
          </w:p>
          <w:p>
            <w:pPr>
              <w:pStyle w:val="null3"/>
              <w:ind w:left="39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4）.提供终端机制跳线（约800余根）和电话语音跳线、光纤跳线、标签带、扎带等辅材，并做好终端电脑的网络连接等工作。</w:t>
            </w:r>
          </w:p>
          <w:p>
            <w:pPr>
              <w:pStyle w:val="null3"/>
              <w:jc w:val="left"/>
            </w:pPr>
            <w:r>
              <w:rPr>
                <w:rFonts w:ascii="仿宋_GB2312" w:hAnsi="仿宋_GB2312" w:cs="仿宋_GB2312" w:eastAsia="仿宋_GB2312"/>
                <w:sz w:val="24"/>
                <w:color w:val="000000"/>
              </w:rPr>
              <w:t xml:space="preserve">3、会议室设备迁移与安装： </w:t>
            </w:r>
            <w:r>
              <w:rPr>
                <w:rFonts w:ascii="仿宋_GB2312" w:hAnsi="仿宋_GB2312" w:cs="仿宋_GB2312" w:eastAsia="仿宋_GB2312"/>
                <w:sz w:val="21"/>
                <w:color w:val="000000"/>
              </w:rPr>
              <w:t>整体数量：</w:t>
            </w:r>
            <w:r>
              <w:rPr>
                <w:rFonts w:ascii="仿宋_GB2312" w:hAnsi="仿宋_GB2312" w:cs="仿宋_GB2312" w:eastAsia="仿宋_GB2312"/>
                <w:sz w:val="21"/>
                <w:color w:val="000000"/>
              </w:rPr>
              <w:t>1；单位：项；</w:t>
            </w:r>
          </w:p>
          <w:p>
            <w:pPr>
              <w:pStyle w:val="null3"/>
              <w:ind w:left="39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1）.原一间会议室17㎡LED大屏（像素间距≤1.53mm，单元尺寸：320mm*160mm）拆装成两间会议室使用。</w:t>
            </w:r>
          </w:p>
          <w:p>
            <w:pPr>
              <w:pStyle w:val="null3"/>
              <w:ind w:left="39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2）.拆除原会议室音视频系统及配套设备，并根据实际情况做好安装调试、维护维修、系统升级。</w:t>
            </w:r>
          </w:p>
          <w:p>
            <w:pPr>
              <w:pStyle w:val="null3"/>
              <w:ind w:left="39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3）.值班室电视电话会议</w:t>
            </w:r>
            <w:r>
              <w:rPr>
                <w:rFonts w:ascii="仿宋_GB2312" w:hAnsi="仿宋_GB2312" w:cs="仿宋_GB2312" w:eastAsia="仿宋_GB2312"/>
                <w:sz w:val="21"/>
                <w:color w:val="000000"/>
              </w:rPr>
              <w:t>系统</w:t>
            </w:r>
            <w:r>
              <w:rPr>
                <w:rFonts w:ascii="仿宋_GB2312" w:hAnsi="仿宋_GB2312" w:cs="仿宋_GB2312" w:eastAsia="仿宋_GB2312"/>
                <w:sz w:val="21"/>
                <w:color w:val="000000"/>
              </w:rPr>
              <w:t>3台设备拆除、加固安装、系统更新调试。</w:t>
            </w:r>
          </w:p>
          <w:p>
            <w:pPr>
              <w:pStyle w:val="null3"/>
              <w:jc w:val="left"/>
            </w:pPr>
            <w:r>
              <w:rPr>
                <w:rFonts w:ascii="仿宋_GB2312" w:hAnsi="仿宋_GB2312" w:cs="仿宋_GB2312" w:eastAsia="仿宋_GB2312"/>
                <w:sz w:val="24"/>
                <w:color w:val="000000"/>
              </w:rPr>
              <w:t>4、其他：</w:t>
            </w:r>
          </w:p>
          <w:p>
            <w:pPr>
              <w:pStyle w:val="null3"/>
              <w:ind w:left="39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1）其他需要搬迁的物品；数量：1；单位：项；</w:t>
            </w:r>
          </w:p>
          <w:p>
            <w:pPr>
              <w:pStyle w:val="null3"/>
            </w:pPr>
            <w:r>
              <w:rPr>
                <w:rFonts w:ascii="仿宋_GB2312" w:hAnsi="仿宋_GB2312" w:cs="仿宋_GB2312" w:eastAsia="仿宋_GB2312"/>
                <w:sz w:val="19"/>
                <w:color w:val="000000"/>
              </w:rPr>
              <w:t>注：项目团队成员人数至少60人以上并配备项目负责人，企业需提供项目实施期间人员人身意外伤害保险；合法运营车辆至少不少于30辆且提供相关证明材料。本次安装所需耗材由供应商根据实际情况提供，具体服务内容情况以采购人提供的详细清单为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项目团队成员人数至少60人以上并配备项目负责人，企业需提供项目实施期间人员人身意外伤害保险</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合法运营车辆至少不少于30辆且提供相关证明材料。</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本次安装所需耗材由供应商根据实际情况提供，具体服务内容情况以采购人提供的详细清单为准。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西安市住房和城乡建设局</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执行国家法律、法规和标准等情况进行检查，由采购人组织验收 。</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1、按《中华人民共和国民法典》中的相关条款执行。2、未按合同要求提供服务或服务质量不能满足技术要求，采购人有权终止合同，并对供方违约行为进行追究，同时按《招标投标法》的有关规定进行处罚。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质量要求：符合相关要求，达到现行国家及行业“合格”标准。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供应商具有独立承担民事责任能力的法人、其他组织或自然人，并出具合法有效的营业执照或事业单位法人证书等国家规定的相关证明， 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财务要求</w:t>
            </w:r>
          </w:p>
        </w:tc>
        <w:tc>
          <w:tcPr>
            <w:tcW w:type="dxa" w:w="3322"/>
          </w:tcPr>
          <w:p>
            <w:pPr>
              <w:pStyle w:val="null3"/>
            </w:pPr>
            <w:r>
              <w:rPr>
                <w:rFonts w:ascii="仿宋_GB2312" w:hAnsi="仿宋_GB2312" w:cs="仿宋_GB2312" w:eastAsia="仿宋_GB2312"/>
              </w:rPr>
              <w:t>提供2023年或2024年度经审计的财务报告（成立时间至提交响应文件截止时间不足一年的可提供成立后任意时段的资产负债表），或开标前三个月内基本存款账户开户银行出具的资信证明及基本存款账户开户许可证（或基本账户信息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提供响应文件递交截止日前6个月内已缴纳的至少一个月的纳税证明或完税证明，依法免税的单位应提供相关证明材料。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提供响应文件递交截止日前6个月内已缴存的至少一个月的社会保障资金缴存单据或社保机构开具的社会保险参保缴费情况证明，依法不需要缴纳社会保障资金的单位应提供相关证明材料。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无违法记录</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信誉记录</w:t>
            </w:r>
          </w:p>
        </w:tc>
        <w:tc>
          <w:tcPr>
            <w:tcW w:type="dxa" w:w="3322"/>
          </w:tcPr>
          <w:p>
            <w:pPr>
              <w:pStyle w:val="null3"/>
            </w:pPr>
            <w:r>
              <w:rPr>
                <w:rFonts w:ascii="仿宋_GB2312" w:hAnsi="仿宋_GB2312" w:cs="仿宋_GB2312" w:eastAsia="仿宋_GB2312"/>
              </w:rPr>
              <w:t>不得为“信用中国” 网站中列入“失信被执行人或重大税收违法失信主体或政府采购严重违法失信行为记录名单” 的供应商；不得为中国政府采购网“政府采购严重违法失信行为记录名单” 中的供应商。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单位负责人为同一人或者存在直接控股、管理关系的不同供应商，不得参加同一合同下的政府采购活动。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联合体要求</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是否专门面向中小企业</w:t>
            </w:r>
          </w:p>
        </w:tc>
        <w:tc>
          <w:tcPr>
            <w:tcW w:type="dxa" w:w="3322"/>
          </w:tcPr>
          <w:p>
            <w:pPr>
              <w:pStyle w:val="null3"/>
            </w:pPr>
            <w:r>
              <w:rPr>
                <w:rFonts w:ascii="仿宋_GB2312" w:hAnsi="仿宋_GB2312" w:cs="仿宋_GB2312" w:eastAsia="仿宋_GB2312"/>
              </w:rPr>
              <w:t>本项目专门面向中小企业采购；须符合《政府采购促进中小企业发展管理办法》（财库〔2020〕46号）规定的中小企业参加。</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首次磋商报价一览表.pdf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首次磋商报价一览表.pdf 标的清单 报价表 分项报价明细表.pdf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响应文件的签字、盖章</w:t>
            </w:r>
          </w:p>
        </w:tc>
        <w:tc>
          <w:tcPr>
            <w:tcW w:type="dxa" w:w="3322"/>
          </w:tcPr>
          <w:p>
            <w:pPr>
              <w:pStyle w:val="null3"/>
            </w:pPr>
            <w:r>
              <w:rPr>
                <w:rFonts w:ascii="仿宋_GB2312" w:hAnsi="仿宋_GB2312" w:cs="仿宋_GB2312" w:eastAsia="仿宋_GB2312"/>
              </w:rPr>
              <w:t>响应文件格式要求签字盖章的，须按要求签字或盖章</w:t>
            </w:r>
          </w:p>
        </w:tc>
        <w:tc>
          <w:tcPr>
            <w:tcW w:type="dxa" w:w="1661"/>
          </w:tcPr>
          <w:p>
            <w:pPr>
              <w:pStyle w:val="null3"/>
            </w:pPr>
            <w:r>
              <w:rPr>
                <w:rFonts w:ascii="仿宋_GB2312" w:hAnsi="仿宋_GB2312" w:cs="仿宋_GB2312" w:eastAsia="仿宋_GB2312"/>
              </w:rPr>
              <w:t>首次磋商报价一览表.pdf 中小企业声明函 供应商应提交的相关资格证明材料 报价表 供应商承诺书.pdf 分项报价明细表.pdf 商务、技术偏离表.pdf 响应文件封面 供应商认为需要提交的其他资料.pdf 残疾人福利性单位声明函 服务方案 标的清单 企业近年完成的类似业绩汇总表.pdf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应满足磋商文件中服务期限的规定</w:t>
            </w:r>
          </w:p>
        </w:tc>
        <w:tc>
          <w:tcPr>
            <w:tcW w:type="dxa" w:w="1661"/>
          </w:tcPr>
          <w:p>
            <w:pPr>
              <w:pStyle w:val="null3"/>
            </w:pPr>
            <w:r>
              <w:rPr>
                <w:rFonts w:ascii="仿宋_GB2312" w:hAnsi="仿宋_GB2312" w:cs="仿宋_GB2312" w:eastAsia="仿宋_GB2312"/>
              </w:rPr>
              <w:t>首次磋商报价一览表.pdf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应满足磋商文件中质量要求的规定</w:t>
            </w:r>
          </w:p>
        </w:tc>
        <w:tc>
          <w:tcPr>
            <w:tcW w:type="dxa" w:w="1661"/>
          </w:tcPr>
          <w:p>
            <w:pPr>
              <w:pStyle w:val="null3"/>
            </w:pPr>
            <w:r>
              <w:rPr>
                <w:rFonts w:ascii="仿宋_GB2312" w:hAnsi="仿宋_GB2312" w:cs="仿宋_GB2312" w:eastAsia="仿宋_GB2312"/>
              </w:rPr>
              <w:t>响应文件封面 首次磋商报价一览表.pdf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应满足磋商文件中有效期的规定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w:t>
            </w:r>
          </w:p>
        </w:tc>
        <w:tc>
          <w:tcPr>
            <w:tcW w:type="dxa" w:w="1661"/>
          </w:tcPr>
          <w:p>
            <w:pPr>
              <w:pStyle w:val="null3"/>
            </w:pPr>
            <w:r>
              <w:rPr>
                <w:rFonts w:ascii="仿宋_GB2312" w:hAnsi="仿宋_GB2312" w:cs="仿宋_GB2312" w:eastAsia="仿宋_GB2312"/>
              </w:rPr>
              <w:t>首次磋商报价一览表.pdf 中小企业声明函 供应商应提交的相关资格证明材料 供应商承诺书.pdf 分项报价明细表.pdf 商务、技术偏离表.pdf 响应文件封面 残疾人福利性单位声明函 服务方案 标的清单 企业近年完成的类似业绩汇总表.pdf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评审得分相同的，按照最后报价由低到高的顺序推荐。评审得分且最后报价相同的，按照服务方案得分顺序推荐</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搬 家 方 案</w:t>
            </w:r>
          </w:p>
        </w:tc>
        <w:tc>
          <w:tcPr>
            <w:tcW w:type="dxa" w:w="2492"/>
          </w:tcPr>
          <w:p>
            <w:pPr>
              <w:pStyle w:val="null3"/>
            </w:pPr>
            <w:r>
              <w:rPr>
                <w:rFonts w:ascii="仿宋_GB2312" w:hAnsi="仿宋_GB2312" w:cs="仿宋_GB2312" w:eastAsia="仿宋_GB2312"/>
              </w:rPr>
              <w:t>一、评分内容： 根据供应商对项目的工作总体安排内容评分，包括①人力资源需求计划②工作进度安排③培训安排。 二、评分标准： 1 、完整性：内容须完整，对评分内容有完整描述及说明； 2 、合理性：切合本项目实际情况，评分内容安排合理； 3 、针对性：内容能够紧扣项目实际情况，针对性强。 三、计分标准： ①人力资源需求计划：每完全满足一项评分标准得2分，满分6分； ②工作进度安排：每完全满足一项评分标准得2分，满分6分； ③培训安排：每完全满足一项评分标准得2分，满分6分。 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一、评分内容 根据供应商对项目的重点难点分析内容评分，包括①服务工作重点、难点的分析②重点、难点解决措施。 二、评分标准 1 、完整性：内容须全面，对评分内容中的各项要求有详细描述及说明； 2 、可实施性：切合本项目实际情况，实施步骤清晰、合理； 3 、针对性：内容能够紧扣项目实际情况，针对性强。 三、计分标准 ①服务工作重点、难点的分析：每完全满足一项评分标准得2分，满分6分； ②重点、难点解决措施：每完全满足一项评分标准得1分，满分3分。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一、评分内容 根据供应商对项目组织机构内容评分，包括①项目组织机构人员数量配置及分工安排②项目组织机构人员综合实力和专业素质。 二、评分标准 1 、完整性：内容须全面，对评分内容中的各项要求有详细描述及说明； 2 、合理性：切合本项目实际情况，人员配置合理； 3 、针对性：内容能够紧扣项目实际情况，针对性强。 三、计分标准 ①项目机构组织人员数量配置及分工安排：每完全满足一项评分标准得2分，满分6分； ②项目机构组织人员综合实力和专业素质：每完全满足一项评分标准得2分，满分6分；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一、评分内容 根据供应商对项目的质量保证措施内容评分，包括①质量保证措施②安全保障措施③保密措施。 二、评分标准 1 、完整性可实施性：内容须全面，对评分内容中的各项要求有详细描述及说明； 切合本项目实际情况，实施步骤清晰、合理； 2、针对性：内容能够紧扣项目实际情况，针对性强。 三、计分标准 ①质量保证措施：每完全满足一项评分标准得2分，满分4分； ②安全防范措施：每完全满足一项评分标准得2分，满分4分；③保密措施：每完全满足一项评分标准得2分，满分4分。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近三年（2022年01月01日至今，须提供中标通知书及服务合同资料，（以签订合同的时间为准）承担过1项类似项目业绩得2分 , 每增加1项得2分，最高得分12分。 注：以合同签订时间为准，提供的业绩复印件须清晰可辨，复印模糊无法辨认的将不予评分，未提供不得分。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企业近年完成的类似业绩汇总表.pdf</w:t>
            </w:r>
          </w:p>
        </w:tc>
      </w:tr>
      <w:tr>
        <w:tc>
          <w:tcPr>
            <w:tcW w:type="dxa" w:w="831"/>
            <w:vMerge/>
          </w:tcPr>
          <w:p/>
        </w:tc>
        <w:tc>
          <w:tcPr>
            <w:tcW w:type="dxa" w:w="1661"/>
          </w:tcPr>
          <w:p>
            <w:pPr>
              <w:pStyle w:val="null3"/>
            </w:pPr>
            <w:r>
              <w:rPr>
                <w:rFonts w:ascii="仿宋_GB2312" w:hAnsi="仿宋_GB2312" w:cs="仿宋_GB2312" w:eastAsia="仿宋_GB2312"/>
              </w:rPr>
              <w:t>对项目的理解</w:t>
            </w:r>
          </w:p>
        </w:tc>
        <w:tc>
          <w:tcPr>
            <w:tcW w:type="dxa" w:w="2492"/>
          </w:tcPr>
          <w:p>
            <w:pPr>
              <w:pStyle w:val="null3"/>
            </w:pPr>
            <w:r>
              <w:rPr>
                <w:rFonts w:ascii="仿宋_GB2312" w:hAnsi="仿宋_GB2312" w:cs="仿宋_GB2312" w:eastAsia="仿宋_GB2312"/>
              </w:rPr>
              <w:t>一、评分内容 根据供应商对项目的理解程度评分，包括：①项目背景及意义②工作目标的理解。 二、评分标准 1 、完整性：内容须全面，对本项目的理解有完整描述及说明； 2、透彻性：切合本项目实际情况，对本项目理解透彻； 三、计分标准 ①项目背景及意义： 每完全满足一项评分标准得2.5分，满分5分； ②工作目标的理解：每完全满足一项评分标准得2分，满分4分；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一、评分内容 根据供应商对项目的服务承诺及合理化建议内容评分，包括①服务承诺②合理化建议。 二、评分标准 1 、明确性：内容明确，表述准确简洁，一目了然； 2 、合理性 ：内容合理，从科学的角度具有较强的完成性。 三、计分标准 ①服务承诺：每完全满足一项评分标准得3分，满分6分； ②合理化建议每完全满足一项评分标准得3分，满分6分 ；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一、评分内容 针对防火；防雨、防潮；防丢失；防泄密等内容，供应商有具体可行的应急措施和解决方案，内容包括但不限于响应时间、人员安排、突发事件解决措施及能力等。二、评分标准1、方案具体可行、解决措施完善、合理有效，计6分；2、方案较为可行、解决措施较完善、合理，计4分；3、方案简单、突发事件有应急预案以及处置办法，但不够合理完善，内容空泛，计2分；4、方案较差，应急保障措施与项目需求适配度差，计1分 5、未提供不计分。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1.经初审合格的响应文件，其投标报价为有效投标报价，并对有效投标报价进行政策性扣减，并依据扣减后的价格(评审价格)进行价格评审。 2.满足磋商文件实质性要求且最终报价最低的投标人的价格为投标基准价，其价格分为满分 10 分。 3.投标报价得分= (投标基准价/投标报价)x10 的公式计算得分。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首次磋商报价一览表.pdf</w:t>
            </w:r>
          </w:p>
          <w:p>
            <w:pPr>
              <w:pStyle w:val="null3"/>
            </w:pPr>
            <w:r>
              <w:rPr>
                <w:rFonts w:ascii="仿宋_GB2312" w:hAnsi="仿宋_GB2312" w:cs="仿宋_GB2312" w:eastAsia="仿宋_GB2312"/>
              </w:rPr>
              <w:t>分项报价明细表.pdf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详见附件：首次磋商报价一览表.pdf</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详见附件：分项报价明细表.pdf</w:t>
      </w:r>
    </w:p>
    <w:p>
      <w:pPr>
        <w:pStyle w:val="null3"/>
        <w:ind w:firstLine="960"/>
      </w:pPr>
      <w:r>
        <w:rPr>
          <w:rFonts w:ascii="仿宋_GB2312" w:hAnsi="仿宋_GB2312" w:cs="仿宋_GB2312" w:eastAsia="仿宋_GB2312"/>
        </w:rPr>
        <w:t>详见附件：商务、技术偏离表.pdf</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详见附件：企业近年完成的类似业绩汇总表.pdf</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详见附件：供应商承诺书.pdf</w:t>
      </w:r>
    </w:p>
    <w:p>
      <w:pPr>
        <w:pStyle w:val="null3"/>
        <w:ind w:firstLine="960"/>
      </w:pPr>
      <w:r>
        <w:rPr>
          <w:rFonts w:ascii="仿宋_GB2312" w:hAnsi="仿宋_GB2312" w:cs="仿宋_GB2312" w:eastAsia="仿宋_GB2312"/>
        </w:rPr>
        <w:t>详见附件：供应商认为需要提交的其他资料.pdf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详见附件：市住建局办公场所搬迁服务项目采购合同.docx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