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版本号：SXDZ2025-ZC-CS03820251106001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新城区二级智慧环保监控平台运维服务项目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SXDZ2025-ZC-CS038</w:t>
      </w:r>
      <w:r>
        <w:br/>
      </w:r>
      <w:r>
        <w:br/>
      </w:r>
      <w:r>
        <w:br/>
      </w:r>
    </w:p>
    <w:p>
      <w:pPr>
        <w:pStyle w:val="null3"/>
        <w:jc w:val="center"/>
        <w:outlineLvl w:val="2"/>
      </w:pPr>
      <w:r>
        <w:rPr>
          <w:rFonts w:ascii="仿宋_GB2312" w:hAnsi="仿宋_GB2312" w:cs="仿宋_GB2312" w:eastAsia="仿宋_GB2312"/>
          <w:sz w:val="28"/>
          <w:b/>
        </w:rPr>
        <w:t>西安市生态环境局新城分局</w:t>
      </w:r>
    </w:p>
    <w:p>
      <w:pPr>
        <w:pStyle w:val="null3"/>
        <w:jc w:val="center"/>
        <w:outlineLvl w:val="2"/>
      </w:pPr>
      <w:r>
        <w:rPr>
          <w:rFonts w:ascii="仿宋_GB2312" w:hAnsi="仿宋_GB2312" w:cs="仿宋_GB2312" w:eastAsia="仿宋_GB2312"/>
          <w:sz w:val="28"/>
          <w:b/>
        </w:rPr>
        <w:t>陕西东卓项目管理有限公司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陕西东卓项目管理有限公司</w:t>
      </w:r>
      <w:r>
        <w:rPr>
          <w:rFonts w:ascii="仿宋_GB2312" w:hAnsi="仿宋_GB2312" w:cs="仿宋_GB2312" w:eastAsia="仿宋_GB2312"/>
        </w:rPr>
        <w:t>（以下简称“代理机构”）受</w:t>
      </w:r>
      <w:r>
        <w:rPr>
          <w:rFonts w:ascii="仿宋_GB2312" w:hAnsi="仿宋_GB2312" w:cs="仿宋_GB2312" w:eastAsia="仿宋_GB2312"/>
        </w:rPr>
        <w:t>西安市生态环境局新城分局</w:t>
      </w:r>
      <w:r>
        <w:rPr>
          <w:rFonts w:ascii="仿宋_GB2312" w:hAnsi="仿宋_GB2312" w:cs="仿宋_GB2312" w:eastAsia="仿宋_GB2312"/>
        </w:rPr>
        <w:t>委托，拟对</w:t>
      </w:r>
      <w:r>
        <w:rPr>
          <w:rFonts w:ascii="仿宋_GB2312" w:hAnsi="仿宋_GB2312" w:cs="仿宋_GB2312" w:eastAsia="仿宋_GB2312"/>
        </w:rPr>
        <w:t>新城区二级智慧环保监控平台运维服务项目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SXDZ2025-ZC-CS038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新城区二级智慧环保监控平台运维服务项目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针对新城区二级智慧环保监控平台运维服务。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采购包1（新城区二级智慧环保监控平台运维服务项目）：属于专门面向中小企业采购。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1、响应主体 ：响应供应商需提供有效合格的具有统一社会信用代码的营业执照，其他组织经营的须提供合法凭证，自然人提供身份证明文件。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2、身份证明 ：法定代表人参加投标的，须提供本人身份证加盖公章的复印件；法定代表人授权他人参加投标的，须提供法定代表人授权委托书及被授权代表的身份证复印件。</w:t>
      </w:r>
    </w:p>
    <w:p>
      <w:pPr>
        <w:pStyle w:val="null3"/>
      </w:pPr>
      <w:r>
        <w:rPr>
          <w:rFonts w:ascii="仿宋_GB2312" w:hAnsi="仿宋_GB2312" w:cs="仿宋_GB2312" w:eastAsia="仿宋_GB2312"/>
        </w:rPr>
        <w:t>3、财务状况报告 ：提供供应商2024年度经审计的财务会计报告（包括“四表一注”，即资产负债表、利润表、现金流量表、所有者权益变动表及其附注）或投标截止时间前三个月内基本存款账户开户银行出具的资信证明文件及基本存款账户开户许可证（无基本存款账户开户许可证可提供其基本存款账户信息证明）；成立时间至提交投标文件截止时间不足一年的可提供成立后任意时段的资产负债表。</w:t>
      </w:r>
    </w:p>
    <w:p>
      <w:pPr>
        <w:pStyle w:val="null3"/>
      </w:pPr>
      <w:r>
        <w:rPr>
          <w:rFonts w:ascii="仿宋_GB2312" w:hAnsi="仿宋_GB2312" w:cs="仿宋_GB2312" w:eastAsia="仿宋_GB2312"/>
        </w:rPr>
        <w:t>4、社会保障资金缴纳证明 ：提供供应商2025年1月1日以来任意三个月已缴纳的社会保障资金缴存单据或社保机构开具的社会保险参保缴费情况证明；依法不需要缴纳社会保障资金的供应商应提供加盖公章的相关证明文件。</w:t>
      </w:r>
    </w:p>
    <w:p>
      <w:pPr>
        <w:pStyle w:val="null3"/>
      </w:pPr>
      <w:r>
        <w:rPr>
          <w:rFonts w:ascii="仿宋_GB2312" w:hAnsi="仿宋_GB2312" w:cs="仿宋_GB2312" w:eastAsia="仿宋_GB2312"/>
        </w:rPr>
        <w:t>5、税收缴纳证明 ：提供供应商2025年1月1日以来任意三个月已缴纳的纳税证明或完税证明（至少包含增值税或企业所得税），依法免税的供应商应提供加盖公章的相关证明文件。</w:t>
      </w:r>
    </w:p>
    <w:p>
      <w:pPr>
        <w:pStyle w:val="null3"/>
      </w:pPr>
      <w:r>
        <w:rPr>
          <w:rFonts w:ascii="仿宋_GB2312" w:hAnsi="仿宋_GB2312" w:cs="仿宋_GB2312" w:eastAsia="仿宋_GB2312"/>
        </w:rPr>
        <w:t>6、履行合同能力的证明材料 ：具备履行合同所必需的设备和专业技术能力的证明材料(由供应商根据项目需求提供说明材料或者承诺)。</w:t>
      </w:r>
    </w:p>
    <w:p>
      <w:pPr>
        <w:pStyle w:val="null3"/>
      </w:pPr>
      <w:r>
        <w:rPr>
          <w:rFonts w:ascii="仿宋_GB2312" w:hAnsi="仿宋_GB2312" w:cs="仿宋_GB2312" w:eastAsia="仿宋_GB2312"/>
        </w:rPr>
        <w:t>7、书面信用声明 ：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pPr>
        <w:pStyle w:val="null3"/>
      </w:pPr>
      <w:r>
        <w:rPr>
          <w:rFonts w:ascii="仿宋_GB2312" w:hAnsi="仿宋_GB2312" w:cs="仿宋_GB2312" w:eastAsia="仿宋_GB2312"/>
        </w:rPr>
        <w:t>8、控股、管理关系 ：单位负责人为同一人或者存在直接控股、管理关系的不同供应商，不得参加本次采购活动。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西安市生态环境局新城分局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西安市长兴路9号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029-83210583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陕西东卓项目管理有限公司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西安市大兴东路29号御笔城市广场（2号电梯）4层408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029-86637322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采购包1：326,900.00元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招标代理服务收费管理暂行办法》（计价格[2002]1980号）、《国家发展改革委办公厅关于招标代理服务收费有关问题的通知》（发改办价格[2003]857号）、《国家发展改革委关于降低部分建设项目收费标准规范收费行为等有关问题的通知》（发改办价格[2011]534号）的有关规定收取招标代理服务费（为保证招标代理机构合理成本，若招标代理服务费不足6000.00元，则按6000.00元收取）。 企业名称：陕西东卓项目管理有限公司 开户银行：中国银行股份有限公司西安市经济技术开发区支行 账 号：102494375315 转账事由：（项目名称）代理服务费 咨询电话：029-86637322 请成交供应商按照要求将服务费汇入以上指定账户，如因自身原因发生错误，产生的不利后果均由供应商自行承担。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西安市生态环境局新城分局</w:t>
      </w:r>
      <w:r>
        <w:rPr>
          <w:rFonts w:ascii="仿宋_GB2312" w:hAnsi="仿宋_GB2312" w:cs="仿宋_GB2312" w:eastAsia="仿宋_GB2312"/>
        </w:rPr>
        <w:t>和</w:t>
      </w:r>
      <w:r>
        <w:rPr>
          <w:rFonts w:ascii="仿宋_GB2312" w:hAnsi="仿宋_GB2312" w:cs="仿宋_GB2312" w:eastAsia="仿宋_GB2312"/>
        </w:rPr>
        <w:t>陕西东卓项目管理有限公司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西安市生态环境局新城分局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陕西东卓项目管理有限公司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西安市生态环境局新城分局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陕西东卓项目管理有限公司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联系电话：029-86637322</w:t>
      </w:r>
    </w:p>
    <w:p>
      <w:pPr>
        <w:pStyle w:val="null3"/>
      </w:pPr>
      <w:r>
        <w:rPr>
          <w:rFonts w:ascii="仿宋_GB2312" w:hAnsi="仿宋_GB2312" w:cs="仿宋_GB2312" w:eastAsia="仿宋_GB2312"/>
        </w:rPr>
        <w:t>地址：西安市大兴东路29号御笔城市广场（2号电梯）4层408</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针对新城区二级智慧环保监控平台运维服务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326,900.00</w:t>
      </w:r>
    </w:p>
    <w:p>
      <w:pPr>
        <w:pStyle w:val="null3"/>
      </w:pPr>
      <w:r>
        <w:rPr>
          <w:rFonts w:ascii="仿宋_GB2312" w:hAnsi="仿宋_GB2312" w:cs="仿宋_GB2312" w:eastAsia="仿宋_GB2312"/>
        </w:rPr>
        <w:t>采购包最高限价（元）: 326,900.00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新城区二级智慧环保监控平台运维服务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326,900.00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标的名称：新城区二级智慧环保监控平台运维服务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一、项目概况</w:t>
            </w:r>
          </w:p>
          <w:p>
            <w:pPr>
              <w:pStyle w:val="null3"/>
              <w:ind w:firstLine="560"/>
              <w:jc w:val="both"/>
            </w:pPr>
            <w:r>
              <w:rPr>
                <w:rFonts w:ascii="仿宋_GB2312" w:hAnsi="仿宋_GB2312" w:cs="仿宋_GB2312" w:eastAsia="仿宋_GB2312"/>
                <w:sz w:val="24"/>
              </w:rPr>
              <w:t>针对</w:t>
            </w:r>
            <w:r>
              <w:rPr>
                <w:rFonts w:ascii="仿宋_GB2312" w:hAnsi="仿宋_GB2312" w:cs="仿宋_GB2312" w:eastAsia="仿宋_GB2312"/>
                <w:sz w:val="24"/>
              </w:rPr>
              <w:t>新城区二级智慧环保监控平台运维服务项目</w:t>
            </w:r>
            <w:r>
              <w:rPr>
                <w:rFonts w:ascii="仿宋_GB2312" w:hAnsi="仿宋_GB2312" w:cs="仿宋_GB2312" w:eastAsia="仿宋_GB2312"/>
                <w:sz w:val="24"/>
              </w:rPr>
              <w:t>的运维情况，采购内容包括</w:t>
            </w:r>
            <w:r>
              <w:rPr>
                <w:rFonts w:ascii="仿宋_GB2312" w:hAnsi="仿宋_GB2312" w:cs="仿宋_GB2312" w:eastAsia="仿宋_GB2312"/>
                <w:sz w:val="24"/>
              </w:rPr>
              <w:t>：</w:t>
            </w:r>
            <w:r>
              <w:rPr>
                <w:rFonts w:ascii="仿宋_GB2312" w:hAnsi="仿宋_GB2312" w:cs="仿宋_GB2312" w:eastAsia="仿宋_GB2312"/>
                <w:sz w:val="24"/>
              </w:rPr>
              <w:t>室外站点</w:t>
            </w:r>
            <w:r>
              <w:rPr>
                <w:rFonts w:ascii="仿宋_GB2312" w:hAnsi="仿宋_GB2312" w:cs="仿宋_GB2312" w:eastAsia="仿宋_GB2312"/>
                <w:sz w:val="24"/>
              </w:rPr>
              <w:t>23处运维（包括电费清缴）指挥会议系统、通讯站点系统服务，传输链路、外场维护服务，软件平台维护服务，报告管理、系统培训、对接服务；备品备件等，其主要目标是为确保新城区二级智慧环保监控平台的常规有效数据对接、综合展示、数据分析及生态环境巡查工作的顺利开展及正常运行。</w:t>
            </w:r>
          </w:p>
          <w:p>
            <w:pPr>
              <w:pStyle w:val="null3"/>
              <w:jc w:val="both"/>
            </w:pPr>
            <w:r>
              <w:rPr>
                <w:rFonts w:ascii="仿宋_GB2312" w:hAnsi="仿宋_GB2312" w:cs="仿宋_GB2312" w:eastAsia="仿宋_GB2312"/>
                <w:sz w:val="24"/>
                <w:b/>
              </w:rPr>
              <w:t>二、服务内容及要求</w:t>
            </w:r>
          </w:p>
          <w:p>
            <w:pPr>
              <w:pStyle w:val="null3"/>
              <w:jc w:val="center"/>
            </w:pPr>
            <w:r>
              <w:rPr>
                <w:rFonts w:ascii="仿宋_GB2312" w:hAnsi="仿宋_GB2312" w:cs="仿宋_GB2312" w:eastAsia="仿宋_GB2312"/>
                <w:sz w:val="24"/>
                <w:b/>
              </w:rPr>
              <w:t>服务内容及要求</w:t>
            </w:r>
          </w:p>
          <w:tbl>
            <w:tblPr>
              <w:tblBorders>
                <w:top w:val="none" w:color="000000" w:sz="4"/>
                <w:left w:val="none" w:color="000000" w:sz="4"/>
                <w:bottom w:val="none" w:color="000000" w:sz="4"/>
                <w:right w:val="none" w:color="000000" w:sz="4"/>
                <w:insideH w:val="none"/>
                <w:insideV w:val="none"/>
              </w:tblBorders>
            </w:tblPr>
            <w:tblGrid>
              <w:gridCol w:w="511"/>
              <w:gridCol w:w="143"/>
              <w:gridCol w:w="878"/>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分项名称</w:t>
                  </w:r>
                </w:p>
              </w:tc>
              <w:tc>
                <w:tcPr>
                  <w:tcW w:type="dxa" w:w="8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服务内容</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室外监控运维</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各</w:t>
                  </w:r>
                  <w:r>
                    <w:rPr>
                      <w:rFonts w:ascii="仿宋_GB2312" w:hAnsi="仿宋_GB2312" w:cs="仿宋_GB2312" w:eastAsia="仿宋_GB2312"/>
                      <w:sz w:val="24"/>
                    </w:rPr>
                    <w:t>点位</w:t>
                  </w:r>
                  <w:r>
                    <w:rPr>
                      <w:rFonts w:ascii="仿宋_GB2312" w:hAnsi="仿宋_GB2312" w:cs="仿宋_GB2312" w:eastAsia="仿宋_GB2312"/>
                      <w:sz w:val="24"/>
                    </w:rPr>
                    <w:t>设备及系统的保养、故障排查、应急维修、配置优化等</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处</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2</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通讯系统服务</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每日监测通信传输状态，每月定期检查自有网络，发现问题及时修复，确保系统网络的正常运行</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3</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外场维护服务</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1.每月对外场监管设施进行巡检、对监管设备遗失、损毁，免费及时进行更换，确保外场监管设施安全可用。</w:t>
                  </w:r>
                  <w:r>
                    <w:br/>
                  </w:r>
                  <w:r>
                    <w:rPr>
                      <w:rFonts w:ascii="仿宋_GB2312" w:hAnsi="仿宋_GB2312" w:cs="仿宋_GB2312" w:eastAsia="仿宋_GB2312"/>
                      <w:sz w:val="24"/>
                    </w:rPr>
                    <w:t>2.按照市、区行业管理单位提供的拆移需求，免费进行监管设施的拆移。要求自收到甲方拆移通知后，十天之内完成站点拆除工作，一月内完成新增站点的安装工作。</w:t>
                  </w:r>
                  <w:r>
                    <w:br/>
                  </w:r>
                  <w:r>
                    <w:rPr>
                      <w:rFonts w:ascii="仿宋_GB2312" w:hAnsi="仿宋_GB2312" w:cs="仿宋_GB2312" w:eastAsia="仿宋_GB2312"/>
                      <w:sz w:val="24"/>
                    </w:rPr>
                    <w:t>3.对外场监管设施发现的问题和故障及时进行处理和维修，确保视频监控资源在线率大于90%。</w:t>
                  </w:r>
                </w:p>
                <w:p>
                  <w:pPr>
                    <w:pStyle w:val="null3"/>
                    <w:jc w:val="left"/>
                  </w:pPr>
                  <w:r>
                    <w:rPr>
                      <w:rFonts w:ascii="仿宋_GB2312" w:hAnsi="仿宋_GB2312" w:cs="仿宋_GB2312" w:eastAsia="仿宋_GB2312"/>
                      <w:sz w:val="24"/>
                    </w:rPr>
                    <w:t>4.含维护车辆保养费，油费，保险等。</w:t>
                  </w:r>
                </w:p>
                <w:p>
                  <w:pPr>
                    <w:pStyle w:val="null3"/>
                    <w:jc w:val="left"/>
                  </w:pPr>
                  <w:r>
                    <w:rPr>
                      <w:rFonts w:ascii="仿宋_GB2312" w:hAnsi="仿宋_GB2312" w:cs="仿宋_GB2312" w:eastAsia="仿宋_GB2312"/>
                      <w:sz w:val="24"/>
                    </w:rPr>
                    <w:t>5.安全措施费（包含运维所需的安全设备、通讯设备、防护用具、人员保险等）</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4</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平台硬件服务</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1.本项目要求运行维护单位提供系统运行所需备品备件，以保证对平台硬件设备正常运行提供服务。</w:t>
                  </w:r>
                  <w:r>
                    <w:br/>
                  </w:r>
                  <w:r>
                    <w:rPr>
                      <w:rFonts w:ascii="仿宋_GB2312" w:hAnsi="仿宋_GB2312" w:cs="仿宋_GB2312" w:eastAsia="仿宋_GB2312"/>
                      <w:sz w:val="24"/>
                    </w:rPr>
                    <w:t xml:space="preserve">2.根据业务需要对平台设备进行必要的升级和扩容，确保系统服务器CPU、内存、存储、占用率小于80%，确保所有设备、设施正常运行，在线可用。  </w:t>
                  </w:r>
                  <w:r>
                    <w:br/>
                  </w:r>
                  <w:r>
                    <w:rPr>
                      <w:rFonts w:ascii="仿宋_GB2312" w:hAnsi="仿宋_GB2312" w:cs="仿宋_GB2312" w:eastAsia="仿宋_GB2312"/>
                      <w:sz w:val="24"/>
                    </w:rPr>
                    <w:t>3、每月对系统硬件设备进行巡检、确保设施设备安全。对存在问题和故障及时进行处理和维修。</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5</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平台软件服务</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1.根据业务工作需要，对应用软件功能和用户操作界面进行优化及调整。</w:t>
                  </w:r>
                  <w:r>
                    <w:br/>
                  </w:r>
                  <w:r>
                    <w:rPr>
                      <w:rFonts w:ascii="仿宋_GB2312" w:hAnsi="仿宋_GB2312" w:cs="仿宋_GB2312" w:eastAsia="仿宋_GB2312"/>
                      <w:sz w:val="24"/>
                    </w:rPr>
                    <w:t>2.根据用户使用需要和操作习惯，完成系统的易用性升级。</w:t>
                  </w:r>
                  <w:r>
                    <w:br/>
                  </w:r>
                  <w:r>
                    <w:rPr>
                      <w:rFonts w:ascii="仿宋_GB2312" w:hAnsi="仿宋_GB2312" w:cs="仿宋_GB2312" w:eastAsia="仿宋_GB2312"/>
                      <w:sz w:val="24"/>
                    </w:rPr>
                    <w:t>3.对系统涵盖的所有应用子系统提供运维服务，每天对软件系统进行巡检，积极解决软件存在的问题，确保所用系统模块功能顺畅运行。</w:t>
                  </w:r>
                  <w:r>
                    <w:br/>
                  </w:r>
                  <w:r>
                    <w:rPr>
                      <w:rFonts w:ascii="仿宋_GB2312" w:hAnsi="仿宋_GB2312" w:cs="仿宋_GB2312" w:eastAsia="仿宋_GB2312"/>
                      <w:sz w:val="24"/>
                    </w:rPr>
                    <w:t>4.定期做好数据备份。</w:t>
                  </w:r>
                  <w:r>
                    <w:br/>
                  </w:r>
                  <w:r>
                    <w:rPr>
                      <w:rFonts w:ascii="仿宋_GB2312" w:hAnsi="仿宋_GB2312" w:cs="仿宋_GB2312" w:eastAsia="仿宋_GB2312"/>
                      <w:sz w:val="24"/>
                    </w:rPr>
                    <w:t>5.按照运行方案要求，每月对系统软件，应用软件，中间件、数据库软件进行检查，确保license授权可用。根据官方网站发布的信息及时进行补丁升级。</w:t>
                  </w:r>
                  <w:r>
                    <w:br/>
                  </w:r>
                  <w:r>
                    <w:rPr>
                      <w:rFonts w:ascii="仿宋_GB2312" w:hAnsi="仿宋_GB2312" w:cs="仿宋_GB2312" w:eastAsia="仿宋_GB2312"/>
                      <w:sz w:val="24"/>
                    </w:rPr>
                    <w:t>6、每月对系统数据进行清理。消除无用数据和测试数据。</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6</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报告管理服务</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1.根据运维情况，按时更新运维资料，提供维护月报。</w:t>
                  </w:r>
                  <w:r>
                    <w:br/>
                  </w:r>
                  <w:r>
                    <w:rPr>
                      <w:rFonts w:ascii="仿宋_GB2312" w:hAnsi="仿宋_GB2312" w:cs="仿宋_GB2312" w:eastAsia="仿宋_GB2312"/>
                      <w:sz w:val="24"/>
                    </w:rPr>
                    <w:t>2.根据全市信息系统安全管理要求，按时提交安全自查报告。</w:t>
                  </w:r>
                  <w:r>
                    <w:br/>
                  </w:r>
                  <w:r>
                    <w:rPr>
                      <w:rFonts w:ascii="仿宋_GB2312" w:hAnsi="仿宋_GB2312" w:cs="仿宋_GB2312" w:eastAsia="仿宋_GB2312"/>
                      <w:sz w:val="24"/>
                    </w:rPr>
                    <w:t>3.针对重大运维管理问题，召开运维工作会议后，整理归档会议纪要。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对接服务</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定期检查平台系统与外部系统的对接应用。发现问题及时处理，确保对接应用正常运行。</w:t>
                  </w:r>
                  <w:r>
                    <w:br/>
                  </w:r>
                  <w:r>
                    <w:rPr>
                      <w:rFonts w:ascii="仿宋_GB2312" w:hAnsi="仿宋_GB2312" w:cs="仿宋_GB2312" w:eastAsia="仿宋_GB2312"/>
                      <w:sz w:val="24"/>
                    </w:rPr>
                    <w:t>1.本系统与前端系统对接应用。</w:t>
                  </w:r>
                  <w:r>
                    <w:br/>
                  </w:r>
                  <w:r>
                    <w:rPr>
                      <w:rFonts w:ascii="仿宋_GB2312" w:hAnsi="仿宋_GB2312" w:cs="仿宋_GB2312" w:eastAsia="仿宋_GB2312"/>
                      <w:sz w:val="24"/>
                    </w:rPr>
                    <w:t>2.本系统确保监控数据可以实时、准确、完整的接入平台系统，实现对污染源事件在线监管。</w:t>
                  </w:r>
                  <w:r>
                    <w:br/>
                  </w:r>
                  <w:r>
                    <w:rPr>
                      <w:rFonts w:ascii="仿宋_GB2312" w:hAnsi="仿宋_GB2312" w:cs="仿宋_GB2312" w:eastAsia="仿宋_GB2312"/>
                      <w:sz w:val="24"/>
                    </w:rPr>
                    <w:t>3.保障监管平台正常运行，对接二级视频平台，按需每周定期进行资源更新和同步，并汇总上报各区域视频在、离线情况。</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培训服务</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1.针对系统维护人员，每年定期组织设备维护操作培训。（包含：系统平台软件的基本操作和管理配置，系统数据备份，视频监控平台视频系统对接、资源更新和同步数据操作等内容。）</w:t>
                  </w:r>
                  <w:r>
                    <w:br/>
                  </w:r>
                  <w:r>
                    <w:rPr>
                      <w:rFonts w:ascii="仿宋_GB2312" w:hAnsi="仿宋_GB2312" w:cs="仿宋_GB2312" w:eastAsia="仿宋_GB2312"/>
                      <w:sz w:val="24"/>
                    </w:rPr>
                    <w:t>2.针对系统市、区使用人员，通过电话沟通，现场指导等方式，按需提供业务培训和指导。</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bl>
          <w:p>
            <w:pPr>
              <w:pStyle w:val="null3"/>
              <w:jc w:val="both"/>
            </w:pPr>
            <w:r>
              <w:rPr>
                <w:rFonts w:ascii="仿宋_GB2312" w:hAnsi="仿宋_GB2312" w:cs="仿宋_GB2312" w:eastAsia="仿宋_GB2312"/>
                <w:sz w:val="24"/>
                <w:b/>
              </w:rPr>
              <w:t>三、服务要求</w:t>
            </w:r>
          </w:p>
          <w:p>
            <w:pPr>
              <w:pStyle w:val="null3"/>
              <w:ind w:firstLine="480"/>
              <w:jc w:val="both"/>
            </w:pPr>
            <w:r>
              <w:rPr>
                <w:rFonts w:ascii="仿宋_GB2312" w:hAnsi="仿宋_GB2312" w:cs="仿宋_GB2312" w:eastAsia="仿宋_GB2312"/>
                <w:sz w:val="24"/>
              </w:rPr>
              <w:t>运维期</w:t>
            </w:r>
            <w:r>
              <w:rPr>
                <w:rFonts w:ascii="仿宋_GB2312" w:hAnsi="仿宋_GB2312" w:cs="仿宋_GB2312" w:eastAsia="仿宋_GB2312"/>
                <w:sz w:val="24"/>
              </w:rPr>
              <w:t>1年，实现7*24小时响应；设置运维小组及配套人员保障措施；对运维服务期内，项目服务范围内的软硬件进行维护，积极响应建设方提出的需求，提出有益于项目的建设性建议。</w:t>
            </w:r>
          </w:p>
          <w:p>
            <w:pPr>
              <w:pStyle w:val="null3"/>
              <w:jc w:val="both"/>
            </w:pPr>
            <w:r>
              <w:rPr>
                <w:rFonts w:ascii="仿宋_GB2312" w:hAnsi="仿宋_GB2312" w:cs="仿宋_GB2312" w:eastAsia="仿宋_GB2312"/>
                <w:sz w:val="24"/>
                <w:b/>
              </w:rPr>
              <w:t>四、其他</w:t>
            </w:r>
          </w:p>
          <w:p>
            <w:pPr>
              <w:pStyle w:val="null3"/>
              <w:jc w:val="both"/>
            </w:pPr>
            <w:r>
              <w:rPr>
                <w:rFonts w:ascii="仿宋_GB2312" w:hAnsi="仿宋_GB2312" w:cs="仿宋_GB2312" w:eastAsia="仿宋_GB2312"/>
                <w:sz w:val="24"/>
              </w:rPr>
              <w:t>（一）成果交付要求</w:t>
            </w:r>
          </w:p>
          <w:p>
            <w:pPr>
              <w:pStyle w:val="null3"/>
              <w:ind w:firstLine="480"/>
              <w:jc w:val="both"/>
            </w:pPr>
            <w:r>
              <w:rPr>
                <w:rFonts w:ascii="仿宋_GB2312" w:hAnsi="仿宋_GB2312" w:cs="仿宋_GB2312" w:eastAsia="仿宋_GB2312"/>
                <w:sz w:val="24"/>
              </w:rPr>
              <w:t>1、达到国家现行项目实施规范和合同规定的验收评定合格标准。</w:t>
            </w:r>
          </w:p>
          <w:p>
            <w:pPr>
              <w:pStyle w:val="null3"/>
              <w:ind w:firstLine="480"/>
              <w:jc w:val="both"/>
            </w:pPr>
            <w:r>
              <w:rPr>
                <w:rFonts w:ascii="仿宋_GB2312" w:hAnsi="仿宋_GB2312" w:cs="仿宋_GB2312" w:eastAsia="仿宋_GB2312"/>
                <w:sz w:val="24"/>
              </w:rPr>
              <w:t>2、运维资料提交：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1）运维验收报告；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2）现场服务单；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3）应急服务单；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4）运维影像资料；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5）运维验收单等。</w:t>
            </w:r>
          </w:p>
          <w:p>
            <w:pPr>
              <w:pStyle w:val="null3"/>
              <w:jc w:val="both"/>
            </w:pPr>
            <w:r>
              <w:rPr>
                <w:rFonts w:ascii="仿宋_GB2312" w:hAnsi="仿宋_GB2312" w:cs="仿宋_GB2312" w:eastAsia="仿宋_GB2312"/>
                <w:sz w:val="24"/>
              </w:rPr>
              <w:t>（二）质量验收标准或规范</w:t>
            </w:r>
          </w:p>
          <w:p>
            <w:pPr>
              <w:pStyle w:val="null3"/>
              <w:ind w:firstLine="480"/>
              <w:jc w:val="both"/>
            </w:pPr>
            <w:r>
              <w:rPr>
                <w:rFonts w:ascii="仿宋_GB2312" w:hAnsi="仿宋_GB2312" w:cs="仿宋_GB2312" w:eastAsia="仿宋_GB2312"/>
                <w:sz w:val="24"/>
              </w:rPr>
              <w:t>现行的国家标准或国家行政部门颁布的法律法规、规章制度等。</w:t>
            </w:r>
          </w:p>
          <w:p>
            <w:pPr>
              <w:pStyle w:val="null3"/>
              <w:ind w:firstLine="480"/>
              <w:jc w:val="both"/>
            </w:pPr>
            <w:r>
              <w:rPr>
                <w:rFonts w:ascii="仿宋_GB2312" w:hAnsi="仿宋_GB2312" w:cs="仿宋_GB2312" w:eastAsia="仿宋_GB2312"/>
                <w:sz w:val="24"/>
              </w:rPr>
              <w:t>智能建筑工程质量验收规范丨现行</w:t>
            </w:r>
            <w:r>
              <w:rPr>
                <w:rFonts w:ascii="仿宋_GB2312" w:hAnsi="仿宋_GB2312" w:cs="仿宋_GB2312" w:eastAsia="仿宋_GB2312"/>
                <w:sz w:val="24"/>
              </w:rPr>
              <w:t>GB50339-2013</w:t>
            </w:r>
          </w:p>
          <w:p>
            <w:pPr>
              <w:pStyle w:val="null3"/>
              <w:ind w:firstLine="480"/>
              <w:jc w:val="both"/>
            </w:pPr>
            <w:r>
              <w:rPr>
                <w:rFonts w:ascii="仿宋_GB2312" w:hAnsi="仿宋_GB2312" w:cs="仿宋_GB2312" w:eastAsia="仿宋_GB2312"/>
                <w:sz w:val="24"/>
              </w:rPr>
              <w:t>建筑智能化系统运行维护技术规范</w:t>
            </w:r>
            <w:r>
              <w:rPr>
                <w:rFonts w:ascii="仿宋_GB2312" w:hAnsi="仿宋_GB2312" w:cs="仿宋_GB2312" w:eastAsia="仿宋_GB2312"/>
                <w:sz w:val="24"/>
              </w:rPr>
              <w:t>JGJ/T 417-2017</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按采购人要求，根据项目实际情况配置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按采购人要求，根据项目实际情况配置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合同签订后，乙方开具相应金额发票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项目运行6个月并通过采购人验收合格后，乙方开具相应金额发票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1、请供应商按照陕西省财政厅关于政府采购供应商注册登记有关事项的通知中的要求，通过陕西省政府采购网（http://www.ccgp-shaanxi.gov.cn/）注册登记加入陕西省政府采购供应商库。 2、请成交供应商在领取成交通知书时，向招标代理机构递交纸质版响应文件（纸质文件与线上评审电子文件保持一致）正本壹份、副本贰份，电子版响应文件（U盘）贰份。 3、根据《西安市财政局关于促进政府采购公平竞争优化营商环境的通知》市财函[2021]431号文第16条 供应商登记免费领取采购文件的，如不参与项目投标，应在递交投标（或响应）文件截止时间前一日以书面形式告知采购代理机构（接收邮箱：sxdz20210508@168.com）。否则，采购代理机构可以向财政部门反应情况并提供相应的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响应供应商需提供有效合格的具有统一社会信用代码的营业执照，其他组织经营的须提供合法凭证，自然人提供身份证明文件。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法定代表人参加投标的，须提供本人身份证加盖公章的复印件；法定代表人授权他人参加投标的，须提供法定代表人授权委托书及被授权代表的身份证复印件。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供应商2024年度经审计的财务会计报告（包括“四表一注”，即资产负债表、利润表、现金流量表、所有者权益变动表及其附注）或投标截止时间前三个月内基本存款账户开户银行出具的资信证明文件及基本存款账户开户许可证（无基本存款账户开户许可证可提供其基本存款账户信息证明）；成立时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提供供应商2025年1月1日以来任意三个月已缴纳的社会保障资金缴存单据或社保机构开具的社会保险参保缴费情况证明；依法不需要缴纳社会保障资金的供应商应提供加盖公章的相关证明文件。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提供供应商2025年1月1日以来任意三个月已缴纳的纳税证明或完税证明（至少包含增值税或企业所得税），依法免税的供应商应提供加盖公章的相关证明文件。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履行合同能力的证明材料</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书面信用声明</w:t>
            </w:r>
          </w:p>
        </w:tc>
        <w:tc>
          <w:tcPr>
            <w:tcW w:type="dxa" w:w="3322"/>
          </w:tcPr>
          <w:p>
            <w:pPr>
              <w:pStyle w:val="null3"/>
            </w:pPr>
            <w:r>
              <w:rPr>
                <w:rFonts w:ascii="仿宋_GB2312" w:hAnsi="仿宋_GB2312" w:cs="仿宋_GB2312" w:eastAsia="仿宋_GB2312"/>
              </w:rPr>
              <w:t>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单位负责人为同一人或者存在直接控股、管理关系的不同供应商，不得参加本次采购活动。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应符合磋商文件中签字、签章要求，且无遗漏</w:t>
            </w:r>
          </w:p>
        </w:tc>
        <w:tc>
          <w:tcPr>
            <w:tcW w:type="dxa" w:w="1661"/>
          </w:tcPr>
          <w:p>
            <w:pPr>
              <w:pStyle w:val="null3"/>
            </w:pPr>
            <w:r>
              <w:rPr>
                <w:rFonts w:ascii="仿宋_GB2312" w:hAnsi="仿宋_GB2312" w:cs="仿宋_GB2312" w:eastAsia="仿宋_GB2312"/>
              </w:rPr>
              <w:t>响应文件封面 分项报价表.docx 技术偏离表.docx 中小企业声明函 残疾人福利性单位声明函 标的清单 响应供应商基本情况表.docx 响应函 商务偏离表.docx 资格证明文件.docx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响应文件格式、语言、计量单位、报价货币</w:t>
            </w:r>
          </w:p>
        </w:tc>
        <w:tc>
          <w:tcPr>
            <w:tcW w:type="dxa" w:w="3322"/>
          </w:tcPr>
          <w:p>
            <w:pPr>
              <w:pStyle w:val="null3"/>
            </w:pPr>
            <w:r>
              <w:rPr>
                <w:rFonts w:ascii="仿宋_GB2312" w:hAnsi="仿宋_GB2312" w:cs="仿宋_GB2312" w:eastAsia="仿宋_GB2312"/>
              </w:rPr>
              <w:t>应符合“响应文件格式”和磋商文件要求</w:t>
            </w:r>
          </w:p>
        </w:tc>
        <w:tc>
          <w:tcPr>
            <w:tcW w:type="dxa" w:w="1661"/>
          </w:tcPr>
          <w:p>
            <w:pPr>
              <w:pStyle w:val="null3"/>
            </w:pPr>
            <w:r>
              <w:rPr>
                <w:rFonts w:ascii="仿宋_GB2312" w:hAnsi="仿宋_GB2312" w:cs="仿宋_GB2312" w:eastAsia="仿宋_GB2312"/>
              </w:rPr>
              <w:t>响应文件封面 分项报价表.docx 技术偏离表.docx 中小企业声明函 残疾人福利性单位声明函 标的清单 响应供应商基本情况表.docx 响应函 商务偏离表.docx 资格证明文件.docx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 （1）货币单位符合采购文件要求 （2）报价符合唯一性要求 （3）未超出采购预算或最高限价 （4）符合《磋商一览表》的填报要求</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技术（服务）条款</w:t>
            </w:r>
          </w:p>
        </w:tc>
        <w:tc>
          <w:tcPr>
            <w:tcW w:type="dxa" w:w="3322"/>
          </w:tcPr>
          <w:p>
            <w:pPr>
              <w:pStyle w:val="null3"/>
            </w:pPr>
            <w:r>
              <w:rPr>
                <w:rFonts w:ascii="仿宋_GB2312" w:hAnsi="仿宋_GB2312" w:cs="仿宋_GB2312" w:eastAsia="仿宋_GB2312"/>
              </w:rPr>
              <w:t>完全理解并响应采购文件要求的各项技术（服务），且未含有采购人不能接受的附加条件的。</w:t>
            </w:r>
          </w:p>
        </w:tc>
        <w:tc>
          <w:tcPr>
            <w:tcW w:type="dxa" w:w="1661"/>
          </w:tcPr>
          <w:p>
            <w:pPr>
              <w:pStyle w:val="null3"/>
            </w:pPr>
            <w:r>
              <w:rPr>
                <w:rFonts w:ascii="仿宋_GB2312" w:hAnsi="仿宋_GB2312" w:cs="仿宋_GB2312" w:eastAsia="仿宋_GB2312"/>
              </w:rPr>
              <w:t>技术偏离表.docx 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商务条款（如合同履行期限、付款方式、响应有效期等）</w:t>
            </w:r>
          </w:p>
        </w:tc>
        <w:tc>
          <w:tcPr>
            <w:tcW w:type="dxa" w:w="3322"/>
          </w:tcPr>
          <w:p>
            <w:pPr>
              <w:pStyle w:val="null3"/>
            </w:pPr>
            <w:r>
              <w:rPr>
                <w:rFonts w:ascii="仿宋_GB2312" w:hAnsi="仿宋_GB2312" w:cs="仿宋_GB2312" w:eastAsia="仿宋_GB2312"/>
              </w:rPr>
              <w:t>完全理解并响应采购文件商务条款的要求，且未含有采购人不能接受的附加条件的。</w:t>
            </w:r>
          </w:p>
        </w:tc>
        <w:tc>
          <w:tcPr>
            <w:tcW w:type="dxa" w:w="1661"/>
          </w:tcPr>
          <w:p>
            <w:pPr>
              <w:pStyle w:val="null3"/>
            </w:pPr>
            <w:r>
              <w:rPr>
                <w:rFonts w:ascii="仿宋_GB2312" w:hAnsi="仿宋_GB2312" w:cs="仿宋_GB2312" w:eastAsia="仿宋_GB2312"/>
              </w:rPr>
              <w:t>商务偏离表.docx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 （9分）</w:t>
            </w:r>
          </w:p>
        </w:tc>
        <w:tc>
          <w:tcPr>
            <w:tcW w:type="dxa" w:w="2492"/>
          </w:tcPr>
          <w:p>
            <w:pPr>
              <w:pStyle w:val="null3"/>
            </w:pPr>
            <w:r>
              <w:rPr>
                <w:rFonts w:ascii="仿宋_GB2312" w:hAnsi="仿宋_GB2312" w:cs="仿宋_GB2312" w:eastAsia="仿宋_GB2312"/>
              </w:rPr>
              <w:t>一、评审内容 提出针对本项目的总体方案，内容包括①服务内容分析及目标②服务工作范围及工作方法③重难点分析及解决方案 二、评审标准 1、完整性：方案须全面，对评审内容中的各项要求有详细描述及说明； 2、可实施性：切合本项目实际情况，实施步骤清晰、合理； 3、针对性：方案能够紧扣项目实际情况，内容科学合理。 三、赋分标准（满分9分） ①服务内容分析及目标：每完全满足一项评审标准得1分，存在瑕疵得0.5分，满分3 分； ②服务工作范围及工作方法：每完全满足一项评审标准得1分，存在瑕疵得0.5分，满分3 分； ③重难点分析及解决方案：每完全满足一项评审标准得1分，存在瑕疵得0.5分，满分3 分。 瑕疵是指存在不完全满足评分标准，但项目仍可实施。</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 （18分）</w:t>
            </w:r>
          </w:p>
        </w:tc>
        <w:tc>
          <w:tcPr>
            <w:tcW w:type="dxa" w:w="2492"/>
          </w:tcPr>
          <w:p>
            <w:pPr>
              <w:pStyle w:val="null3"/>
            </w:pPr>
            <w:r>
              <w:rPr>
                <w:rFonts w:ascii="仿宋_GB2312" w:hAnsi="仿宋_GB2312" w:cs="仿宋_GB2312" w:eastAsia="仿宋_GB2312"/>
              </w:rPr>
              <w:t>一、评审内容 提出针对本项目的运维服务方案，包含①硬件运维服务方案②软件运维服务方案③报告、对接服务方案 二、评审标准 1、完整性：方案须全面，对评审内容中的各项要求有详细描述及说明； 2、可实施性：切合本项目实际情况，实施步骤清晰、合理； 3、针对性：方案能够紧扣项目实际情况，内容科学合理。 三、赋分标准（满分18分） ①硬件运维服务方案：每完全满足一项评审标准得2分，存在瑕疵得1分，满分6分； ②软件运维服务方案：每完全满足一项评审标准得2分，存在瑕疵得1分，满分6分； ③报告、对接服务方案：每完全满足一项评审标准得2分，存在瑕疵得1分，满分6分。 瑕疵是指存在不完全满足评分标准，但项目仍可实施。</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保障方案（9分）</w:t>
            </w:r>
          </w:p>
        </w:tc>
        <w:tc>
          <w:tcPr>
            <w:tcW w:type="dxa" w:w="2492"/>
          </w:tcPr>
          <w:p>
            <w:pPr>
              <w:pStyle w:val="null3"/>
            </w:pPr>
            <w:r>
              <w:rPr>
                <w:rFonts w:ascii="仿宋_GB2312" w:hAnsi="仿宋_GB2312" w:cs="仿宋_GB2312" w:eastAsia="仿宋_GB2312"/>
              </w:rPr>
              <w:t>一、评审内容 提出针对本项目的保障方案，包含①安全保障方案②保密保障方案③质量保障方案 二、评审标准 1、完整性：方案须全面，对评审内容中的各项要求有详细描述及说明； 2、可实施性：切合本项目实际情况，实施步骤清晰、合理； 3、针对性：方案能够紧扣项目实际情况，内容科学合理。 三、赋分标准（满分9分） ①安全保障方案：每完全满足一项评审标准得1分，存在瑕疵得0.5分，满分3分； ②保密保障方案：每完全满足一项评审标准得1分，存在瑕疵得0.5分，满分3分； ③质量保障方案：每完全满足一项评审标准得1分，存在瑕疵得0.5分，满分3分。 瑕疵是指存在不完全满足评分标准，但项目仍可实施。</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 （9分）</w:t>
            </w:r>
          </w:p>
        </w:tc>
        <w:tc>
          <w:tcPr>
            <w:tcW w:type="dxa" w:w="2492"/>
          </w:tcPr>
          <w:p>
            <w:pPr>
              <w:pStyle w:val="null3"/>
            </w:pPr>
            <w:r>
              <w:rPr>
                <w:rFonts w:ascii="仿宋_GB2312" w:hAnsi="仿宋_GB2312" w:cs="仿宋_GB2312" w:eastAsia="仿宋_GB2312"/>
              </w:rPr>
              <w:t>一、评审内容 提出针对本项目的应急保障服务方案，包含①硬件故障应急预案②软件故障应急预案③安全事件应急预案 二、评审标准 1、完整性：方案须全面，对评审内容中的各项要求有详细描述及说明； 2、可实施性：切合本项目实际情况，实施步骤清晰、合理； 3、针对性：方案能够紧扣项目实际情况，内容科学合理。 三、赋分标准（满分9分） ①硬件故障应急预案：每完全满足一项评审标准得1分，存在瑕疵得0.5分，满分3分； ②软件故障应急预案：每完全满足一项评审标准得1分，存在瑕疵得0.5分，满分3分； ③安全事件应急预案：每完全满足一项评审标准得1分，存在瑕疵得0.5分，满分3分。 瑕疵是指存在不完全满足评分标准，但项目仍可实施。</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针对本项目拟投入的设备、仪器（6分）</w:t>
            </w:r>
          </w:p>
        </w:tc>
        <w:tc>
          <w:tcPr>
            <w:tcW w:type="dxa" w:w="2492"/>
          </w:tcPr>
          <w:p>
            <w:pPr>
              <w:pStyle w:val="null3"/>
            </w:pPr>
            <w:r>
              <w:rPr>
                <w:rFonts w:ascii="仿宋_GB2312" w:hAnsi="仿宋_GB2312" w:cs="仿宋_GB2312" w:eastAsia="仿宋_GB2312"/>
              </w:rPr>
              <w:t>提出针对本项目拟投入的设备、仪器，根据供应商所提供设备、仪器的完整性、可实施性、针对性进行评审（需提供设备、仪器所有权证明）。 所提供设备、仪器同时满足完整性、可实施性、针对性三项评审标准的，得6分； 所提供设备、仪器的完整性、可实施性、针对性其中有一项评审标准不满足，得4分； 所提供设备、仪器的完整性、可实施性、针对性其中有两项评审标准不满足，得2分； 其他或未提供得不得分。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人员培训方案（9分）</w:t>
            </w:r>
          </w:p>
        </w:tc>
        <w:tc>
          <w:tcPr>
            <w:tcW w:type="dxa" w:w="2492"/>
          </w:tcPr>
          <w:p>
            <w:pPr>
              <w:pStyle w:val="null3"/>
            </w:pPr>
            <w:r>
              <w:rPr>
                <w:rFonts w:ascii="仿宋_GB2312" w:hAnsi="仿宋_GB2312" w:cs="仿宋_GB2312" w:eastAsia="仿宋_GB2312"/>
              </w:rPr>
              <w:t>一、评审内容 提出针对本项目的人员培训方案，方案包含：①培训计划②培训效果检验方案 二、评审标准 1、完整性：方案须全面，对评审内容中的各项要求有详细描述及说明； 2、可实施性：切合本项目实际情况，实施步骤清晰、合理； 3、针对性：方案能够紧扣项目实际情况，内容科学合理。 三、赋分标准（满分9分） ①培训计划：每完全满足一个评审标准得2分，存在瑕疵得1分，满分6分； ②培训效果检验方案：每完全满足一个评审标准得1分，存在瑕疵得0.5分，满分3分。 瑕疵是指存在不完全满足评分标准，但项目仍可实施。</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人员管理方案（9分）</w:t>
            </w:r>
          </w:p>
        </w:tc>
        <w:tc>
          <w:tcPr>
            <w:tcW w:type="dxa" w:w="2492"/>
          </w:tcPr>
          <w:p>
            <w:pPr>
              <w:pStyle w:val="null3"/>
            </w:pPr>
            <w:r>
              <w:rPr>
                <w:rFonts w:ascii="仿宋_GB2312" w:hAnsi="仿宋_GB2312" w:cs="仿宋_GB2312" w:eastAsia="仿宋_GB2312"/>
              </w:rPr>
              <w:t>一、评审内容 提出针对本项目的人员管理方案，方案包含： ①工作标准：具有岗位工作标准、服务质量标准 ②内控制度：问责机制、监督机制、自查制度 ③人员管理制度：具有员工日常管理办法、请销假制度、奖惩措施、激励机制。 二、评审标准 1、完整性：方案须全面，对评审内容中的各项要求有详细描述及说明； 2、可实施性：切合本项目实际情况，实施步骤清晰、合理； 3、针对性：方案能够紧扣项目实际情况，内容科学合理。 三、赋分标准（满分9分） ①工作标准：每完全满足一个评审标准得1分，存在瑕疵得0.5分，满分3分； ②内控制度：每完全满足一个评审标准得1分，存在瑕疵得0.5分，满分3分； ③人员管理制度：每完全满足一个评审标准得1分，存在瑕疵得0.5分，满分3分。 瑕疵是指存在不完全满足评分标准，但项目仍可实施。</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项目负责人（5分）</w:t>
            </w:r>
          </w:p>
        </w:tc>
        <w:tc>
          <w:tcPr>
            <w:tcW w:type="dxa" w:w="2492"/>
          </w:tcPr>
          <w:p>
            <w:pPr>
              <w:pStyle w:val="null3"/>
            </w:pPr>
            <w:r>
              <w:rPr>
                <w:rFonts w:ascii="仿宋_GB2312" w:hAnsi="仿宋_GB2312" w:cs="仿宋_GB2312" w:eastAsia="仿宋_GB2312"/>
              </w:rPr>
              <w:t>拟派项目负责人具有与本项目相关专业本科及以上学历得2分；具有相关专业高级及以上职称（资格）得3分。 以上人员须提供人员稳定在职证明（如劳动合同或社保缴纳证明）及投入本项目人员稳定性承诺（未经采购人同意，不随意更换项目团队成员），不提供不得分。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项目团队（6分）</w:t>
            </w:r>
          </w:p>
        </w:tc>
        <w:tc>
          <w:tcPr>
            <w:tcW w:type="dxa" w:w="2492"/>
          </w:tcPr>
          <w:p>
            <w:pPr>
              <w:pStyle w:val="null3"/>
            </w:pPr>
            <w:r>
              <w:rPr>
                <w:rFonts w:ascii="仿宋_GB2312" w:hAnsi="仿宋_GB2312" w:cs="仿宋_GB2312" w:eastAsia="仿宋_GB2312"/>
              </w:rPr>
              <w:t>提出针对本项目的人员管理方案，方案包含：①组织机构运行配备方案②专业服务团队人员的职能分工方案 二、评审标准 1、完整性：方案须全面，对评审内容中的各项要求有详细描述及说明； 2、可实施性：切合本项目实际情况，实施步骤清晰、合理； 3、针对性：方案能够紧扣项目实际情况，内容科学合理。 三、赋分标准（满分6分） ①组织机构运行配备方案：每完全满足一项评审标准得1分，存在瑕疵得0.5分，满分3分； ②专业服务团队人员的职能分工方案：每完全满足一个评审标准得1分，存在瑕疵得0.5分，满分3分。 瑕疵是指存在不完全满足评分标准，但项目仍可实施。 以上人员须提供人员稳定在职证明（如劳动合同或社保缴纳证明）及投入本项目人员稳定性承诺（未经采购人同意，不随意更换项目团队成员），不提供不得分。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 （10分）</w:t>
            </w:r>
          </w:p>
        </w:tc>
        <w:tc>
          <w:tcPr>
            <w:tcW w:type="dxa" w:w="2492"/>
          </w:tcPr>
          <w:p>
            <w:pPr>
              <w:pStyle w:val="null3"/>
            </w:pPr>
            <w:r>
              <w:rPr>
                <w:rFonts w:ascii="仿宋_GB2312" w:hAnsi="仿宋_GB2312" w:cs="仿宋_GB2312" w:eastAsia="仿宋_GB2312"/>
              </w:rPr>
              <w:t>具有2022年1月1日以后类似项目业绩，每提供一个业绩得2分，满分10分。 注：以合同或中标通知书复印件加盖公章为依据。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详见附件：响应供应商基本情况表.docx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