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版本号：JXRC-25102620251110001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门诊综合楼11层风湿免疫科一病区、门诊综合楼12层风湿免疫科二病区装修改造工程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JXRC-251026</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门诊综合楼11层风湿免疫科一病区、门诊综合楼12层风湿免疫科二病区装修改造工程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门诊综合楼11层风湿免疫科一病区、门诊综合楼12层风湿免疫科二病区装修改造工程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门诊综合楼11层风湿免疫科一病区、门诊综合楼12层风湿免疫科二病区装修改造工程。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采购包1（门诊综合楼11层风湿免疫科一病区、门诊综合楼12层风湿免疫科二病区装修改造工程）：属于专门面向小微企业采购。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1、法定代表人/负责人授权书：法定代表人/负责人直接参加的，只须递交《法定代表人/负责人身份证明》和身份证；法定代表人/负责人授权代表参加的，须递交《法定代表人/负责人授权书》；</w:t>
      </w:r>
    </w:p>
    <w:p>
      <w:pPr>
        <w:pStyle w:val="null3"/>
      </w:pPr>
      <w:r>
        <w:rPr>
          <w:rFonts w:ascii="仿宋_GB2312" w:hAnsi="仿宋_GB2312" w:cs="仿宋_GB2312" w:eastAsia="仿宋_GB2312"/>
        </w:rPr>
        <w:t>2、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3、供应商资质：具备建筑装修装饰工程专业承包二级及以上资质，具有有效的安全生产许可证；</w:t>
      </w:r>
    </w:p>
    <w:p>
      <w:pPr>
        <w:pStyle w:val="null3"/>
      </w:pPr>
      <w:r>
        <w:rPr>
          <w:rFonts w:ascii="仿宋_GB2312" w:hAnsi="仿宋_GB2312" w:cs="仿宋_GB2312" w:eastAsia="仿宋_GB2312"/>
        </w:rPr>
        <w:t>4、拟派项目经理资格：具有建筑工程专业二级及以上注册建造师执业资格，并具有合法有效的安全生产考核合格证（建安B证），须在本单位注册，无不良信用记录，且未担任其他在建工程项目的项目经理，提供无在建工程承诺书；</w:t>
      </w:r>
    </w:p>
    <w:p>
      <w:pPr>
        <w:pStyle w:val="null3"/>
      </w:pPr>
      <w:r>
        <w:rPr>
          <w:rFonts w:ascii="仿宋_GB2312" w:hAnsi="仿宋_GB2312" w:cs="仿宋_GB2312" w:eastAsia="仿宋_GB2312"/>
        </w:rPr>
        <w:t>5、财务状况证明：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6、纳税证明：法人提供自2024年10月1日以来至少三个月的纳税证明或完税证明(增值税、企业所得税至少一种)，纳税证明或完税证明上应有代收机构或税务机关的公章或业务专用章；其他组织和自然人提供自2024年10月1日以来至少三个月缴纳税收的凭据；依法免税的供应商应提供相关文件证明；</w:t>
      </w:r>
    </w:p>
    <w:p>
      <w:pPr>
        <w:pStyle w:val="null3"/>
      </w:pPr>
      <w:r>
        <w:rPr>
          <w:rFonts w:ascii="仿宋_GB2312" w:hAnsi="仿宋_GB2312" w:cs="仿宋_GB2312" w:eastAsia="仿宋_GB2312"/>
        </w:rPr>
        <w:t>7、社保缴纳证明：提供自2024年10月1日以来至少三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8、无重大违法记录：供应商需提供《无重大违法记录声明》完成承诺；</w:t>
      </w:r>
    </w:p>
    <w:p>
      <w:pPr>
        <w:pStyle w:val="null3"/>
      </w:pPr>
      <w:r>
        <w:rPr>
          <w:rFonts w:ascii="仿宋_GB2312" w:hAnsi="仿宋_GB2312" w:cs="仿宋_GB2312" w:eastAsia="仿宋_GB2312"/>
        </w:rPr>
        <w:t>9、履约能力证明：供应商需提供《具有履行合同所必需的设备和专业技术能力的承诺书》完成承诺。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曲慧、陆频、张海、田颖琦、陈利娜、晁奕菲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采购包1：3,078,715.41元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代理服务费收费标准：招标代理服务费以中标(成交)供应商的中标(成交)金额为基数,在《国家计委关于印发&lt;招标代理服务收费管理暂行办法&gt;的通知》(计价格〔2002]1980号)规定标准的基础上下浮20%。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踏勘时间：2025-11-18 09:30:00</w:t>
            </w:r>
          </w:p>
          <w:p>
            <w:pPr>
              <w:pStyle w:val="null3"/>
              <w:ind w:firstLine="975"/>
            </w:pPr>
            <w:r>
              <w:rPr>
                <w:rFonts w:ascii="仿宋_GB2312" w:hAnsi="仿宋_GB2312" w:cs="仿宋_GB2312" w:eastAsia="仿宋_GB2312"/>
              </w:rPr>
              <w:t>踏勘地点：西安市第五医院招标办</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3,078,715.41</w:t>
      </w:r>
    </w:p>
    <w:p>
      <w:pPr>
        <w:pStyle w:val="null3"/>
      </w:pPr>
      <w:r>
        <w:rPr>
          <w:rFonts w:ascii="仿宋_GB2312" w:hAnsi="仿宋_GB2312" w:cs="仿宋_GB2312" w:eastAsia="仿宋_GB2312"/>
        </w:rPr>
        <w:t>采购包最高限价（元）: 3,078,715.41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门诊综合楼11层风湿免疫科一病区、门诊综合楼12层风湿免疫科二病区装修改造工程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3,078,715.41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标的名称：门诊综合楼11层风湿免疫科一病区、门诊综合楼12层风湿免疫科二病区装修改造工程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工程内容：按照图纸要求对病区进行装饰装修及改造。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1）西安市第五医院门诊综合楼11层风湿免疫科一病区、12层风湿免疫科二病区，需对病区地面、墙面、顶面、门、上下水及冷凝水（包含洁具更换）、呼叫系统及通风系统改造，对病区线路更换及消防设施改造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2）施工完成后应对门诊综合楼11层风湿免疫科一病区、12层风湿免疫科二病区进行空气质量检测，检测内容包括氡、甲醛、氨、苯、甲苯、二甲苯和总挥发性有机化合物。每层检测抽检量不得少于房间总数的50%,当房间总数少于3间时，应全数检测。检测报告应由第三方检测机构出具，检测结果符合国家规定方可验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（3）门诊综合楼11层风湿免疫科一病区面积约700平方米；门诊综合楼12层风湿免疫科二病区面积约700平方米。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1、在施工期间，成交供应商必须注意院内人员安全，加强安全防护措施，并对施工人员进行安全教育。施工人员必须持证上岗。因采购人工作的特殊性，要求中标供应商在施工中做到封闭性施工。 2、隐蔽工程在隐蔽前须进行分项验收，验收合格后乙方留存相关照片及资料。3、材质要求：供应商投标时需提供市场中上等及以上档次材料附详细分项报价表（表中含名称、规格型号、品牌、数量、产地、单价等），并经采购人认可方可施工。 （1）工程所有材料质量必须符合国家标准和行业标准，并具有合格证或检验证； （2）所有进场材料须提供符合环保检测标准的相关证明文件，无法提供相关证明资料的可由采购人委托具备检测资质的第三方单位进行环保检测，产品检测不合格的，甲方有权要求供应商进行限期整改并报复检，检测及复检费用由供应商承担。进场材料检测合格后方可投入使用。 4、在施工期间，中标供应商必须注意院内人员安全，加强安全防护及警示措施，并对施工人员进行安全教育。施工人员必须持证上岗。因采购人工作的特殊性，要求中标供应商在施工中做到封闭性施工。 5、隐蔽工程在隐蔽前须进行分项验收，验收合格后乙方留存相关照片及资料。</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1、工程地点：西安市第五医院 2、计划工期：每层工期85个日历日内竣工，共计170日历日。以甲方的开工报告为准，工期不变。 3、缺陷责任期：2年 4、质量保修期：自验收之日算起，按《建设工程质量管理条例》第三十二条规定：施工单位对施工中出现质量问题的建设工程或者竣工验收不合格的建设工程，应当负责返修且工期不顺延，由此产生的费用及造成的损失，成交供应商自行承担。 自验收合格起之日两年，根据成交供应商响应文件，合同未约定质保事项以《房屋建筑工程质量保修办法》为准。 5、最高限价3078715.41元（含税、含拆除、含垃圾清运）。 门诊综合楼11层风湿免疫科一病区最高限价1538813.18元，门诊综合楼12层风湿免疫科二病区最高限价1539902.23元。 6、本项目暂列金额：门诊综合楼11层风湿免疫科一病区11楼21800元 ；门诊综合楼12层风湿免疫科二病区21800 元。 7、提供门诊综合楼11层风湿免疫科一病区、门诊综合楼12层风湿免疫科二病区报价清单。 8、结算方式 支付方式：银行转账 第一次付款：单层工程竣工验收合格后，收到发票之日起，10个工作日内支付合同价款的70%； 第二次付款：乙方报送整体竣工资料，配合甲方完成审计，剩余款项待甲方完成审计后，收到发票之日起，10个工作日内，支付至审计总价款的97%； 第三次付款：留审计后总款项的3%，二年后无质量问题，收到发票之日起，10个工作日内一次性付清。 9、质量保证 （一）供应商应保质保量按照甲方要求施工，工程完工后采购人按照国家相关技术规范要求进行验收。供应商若不按采购人要求施工的，采购人有权要求供应商停工，供应商应在采购人规定期限内进行整改，停工期间工期不顺延，由此产生的费用及损失，供应商自行承担；供应商累计停工超过10天，视为供应商根本违约，采购人有权单方解除合同，合同自书面解除通知送达供应商之日解除，供应商除应赔偿由此给采购人造成的全部损失外，还应按照合同总价的30%承担违约金。 （二）供应商应妥善保护采购人提供的设备及现场放置的陈设、工程成品，如造成损失，供应商照价赔偿。 （三）未经采购人书面同意，供应商擅自拆改原有建筑物的结构或设备管线，由此发生的损失或事故（包括罚款），由供应商负责并承担全部责任。 10、违约责任 （1）按《中华人民共和国民法典》中的相关条款执行。 （2）未按合同要求提供，质量不能满足技术要求的，采购人会同政府采购机构有权终止合同（合同自书面通知送达供应商之日解除），供应商赔偿采购人解除合同的全部损失（包括但不限于重新采购产生的费用及其它由此造成的采购人对第三方的违约损失），并按照合同总价的30%支付违约金。同时按《政府采购法》有关处罚条款报监管机构进行相应的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法定代表人/负责人直接参加的，只须递交《法定代表人/负责人身份证明》和身份证；法定代表人/负责人授权代表参加的，须递交《法定代表人/负责人授权书》；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具有建筑工程专业二级及以上注册建造师执业资格，并具有合法有效的安全生产考核合格证（建安B证），须在本单位注册，无不良信用记录，且未担任其他在建工程项目的项目经理，提供无在建工程承诺书；</w:t>
            </w:r>
          </w:p>
        </w:tc>
        <w:tc>
          <w:tcPr>
            <w:tcW w:type="dxa" w:w="1661"/>
          </w:tcPr>
          <w:p>
            <w:pPr>
              <w:pStyle w:val="null3"/>
            </w:pPr>
            <w:r>
              <w:rPr>
                <w:rFonts w:ascii="仿宋_GB2312" w:hAnsi="仿宋_GB2312" w:cs="仿宋_GB2312" w:eastAsia="仿宋_GB2312"/>
              </w:rPr>
              <w:t>项目管理机构组成表 响应函 供应商资格 企业关联关系声明函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供应商基本信息 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10月1日以来至少三个月的纳税证明或完税证明(增值税、企业所得税至少一种)，纳税证明或完税证明上应有代收机构或税务机关的公章或业务专用章；其他组织和自然人提供自2024年10月1日以来至少三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提供自2024年10月1日以来至少三个月已缴纳的社会保障资金的证明（社会保障资金缴存单据或社保机构开具的社会保险参保缴费情况证明等)；依法不需要缴纳社会保障资金的供应商应提供相关证明文件；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投标报价不得超过本项目最高限价</w:t>
            </w:r>
          </w:p>
        </w:tc>
        <w:tc>
          <w:tcPr>
            <w:tcW w:type="dxa" w:w="1661"/>
          </w:tcPr>
          <w:p>
            <w:pPr>
              <w:pStyle w:val="null3"/>
            </w:pPr>
            <w:r>
              <w:rPr>
                <w:rFonts w:ascii="仿宋_GB2312" w:hAnsi="仿宋_GB2312" w:cs="仿宋_GB2312" w:eastAsia="仿宋_GB2312"/>
              </w:rPr>
              <w:t>已标价工程量清单 分项报价表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供应商必须满足采购文件的第三章3.2商务要求和3.3其他要求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参加政府采购承诺书</w:t>
            </w:r>
          </w:p>
        </w:tc>
        <w:tc>
          <w:tcPr>
            <w:tcW w:type="dxa" w:w="3322"/>
          </w:tcPr>
          <w:p>
            <w:pPr>
              <w:pStyle w:val="null3"/>
            </w:pPr>
            <w:r>
              <w:rPr>
                <w:rFonts w:ascii="仿宋_GB2312" w:hAnsi="仿宋_GB2312" w:cs="仿宋_GB2312" w:eastAsia="仿宋_GB2312"/>
              </w:rPr>
              <w:t>供应商须提供参加政府采购活动承诺书</w:t>
            </w:r>
          </w:p>
        </w:tc>
        <w:tc>
          <w:tcPr>
            <w:tcW w:type="dxa" w:w="1661"/>
          </w:tcPr>
          <w:p>
            <w:pPr>
              <w:pStyle w:val="null3"/>
            </w:pPr>
            <w:r>
              <w:rPr>
                <w:rFonts w:ascii="仿宋_GB2312" w:hAnsi="仿宋_GB2312" w:cs="仿宋_GB2312" w:eastAsia="仿宋_GB2312"/>
              </w:rPr>
              <w:t>参加政府采购承诺书</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实施方案非常详细、完整，可行、有针对性，有利于项目实施的10分； 实施方案比较详细完整、可行，较利于项目实施的得8分； 实施方案基本可行，基本满足项目实施需要的得6分； 实施方案有缺漏项、不能完全满足项目实施需要的得4分； 实施方案内容粗略、不满足项目实施需要的得2分；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拟投入本项目的材料</w:t>
            </w:r>
          </w:p>
        </w:tc>
        <w:tc>
          <w:tcPr>
            <w:tcW w:type="dxa" w:w="2492"/>
          </w:tcPr>
          <w:p>
            <w:pPr>
              <w:pStyle w:val="null3"/>
            </w:pPr>
            <w:r>
              <w:rPr>
                <w:rFonts w:ascii="仿宋_GB2312" w:hAnsi="仿宋_GB2312" w:cs="仿宋_GB2312" w:eastAsia="仿宋_GB2312"/>
              </w:rPr>
              <w:t>根据供应商针对本项目拟投入材料产品选型合理、环保、为市场主流产品，满足本项目实际要求、国家及行业相关质量规定，附相关证明材料进行评审： 拟投的材料清单科学、合理完整，来源渠道证明材料完整，材料环保性实用性强，完整性强得6分； 拟投的材料清单基本合理，实用性较强，完整性较强，基本满足本项目需求的4.5分； 拟投的材料清单基本合理，实用性一般，完整性一般，基本满足本项目需求的3分； 拟投的材料清单不合理，不完整，不满足本项目需求的1.5分；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安全作业方案及安全配套措施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 方案及措施完全符合采购人安全作业的要求得8分； 方案及措施基本符合采购人安全作业的要求得6分； 方案及措施有缺漏项，不能完全符合采购人安全作业的要求得4分； 方案及措施内容粗略、不符合采购人安全作业的要求得2分；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环境保护、文明施工措施计划</w:t>
            </w:r>
          </w:p>
        </w:tc>
        <w:tc>
          <w:tcPr>
            <w:tcW w:type="dxa" w:w="2492"/>
          </w:tcPr>
          <w:p>
            <w:pPr>
              <w:pStyle w:val="null3"/>
            </w:pPr>
            <w:r>
              <w:rPr>
                <w:rFonts w:ascii="仿宋_GB2312" w:hAnsi="仿宋_GB2312" w:cs="仿宋_GB2312" w:eastAsia="仿宋_GB2312"/>
              </w:rPr>
              <w:t>针对本项目提供的文明施工和环境保护措施计划进行综合评审。 措施计划完备齐全、合理、切实可行得8分； 措施计划完备齐全、合理、基本可行得6分； 措施计划有缺漏项，合理性、可行性较差，得4分； 措施计划内容粗略、可行性较差得2分；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根据供应商制定的确保工程质量的组织措施进行综合评审。 措施计划完备齐全、合理、切实可行得8分； 措施计划完备齐全、合理、基本可行得7分； 措施计划基本满足项目需求、合理性、可行性一般得6分； 措施计划有缺漏项，合理性、可行性较差得4分； 措施计划内容粗略、可行性较差，不能保证项目质量得2分；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机构设置合理，人员配备齐全，技术经验丰富得8分； 机构设置合理，人员配备较齐全、技术经验有欠缺得6分； 机构设置较合理、人员配备基本满足项目需求、技术经验有欠缺得4分； 机构设置不合理、人员配备不足、技术经验较差得2分；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施工机械配备和投入计划</w:t>
            </w:r>
          </w:p>
        </w:tc>
        <w:tc>
          <w:tcPr>
            <w:tcW w:type="dxa" w:w="2492"/>
          </w:tcPr>
          <w:p>
            <w:pPr>
              <w:pStyle w:val="null3"/>
            </w:pPr>
            <w:r>
              <w:rPr>
                <w:rFonts w:ascii="仿宋_GB2312" w:hAnsi="仿宋_GB2312" w:cs="仿宋_GB2312" w:eastAsia="仿宋_GB2312"/>
              </w:rPr>
              <w:t>根据供应商针对本项目制定的施工机械设备配备投入计划进行评审： 计划科学合理、合理性及针对性强，完全满足项目要求的得6分；计划稍有欠缺，有一定的可行性，能够满足项目需求的得4分；计划缺失严重，无法保证项目实施的得2分；未提供的得0分。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确保工期的技术及组织安排</w:t>
            </w:r>
          </w:p>
        </w:tc>
        <w:tc>
          <w:tcPr>
            <w:tcW w:type="dxa" w:w="2492"/>
          </w:tcPr>
          <w:p>
            <w:pPr>
              <w:pStyle w:val="null3"/>
            </w:pPr>
            <w:r>
              <w:rPr>
                <w:rFonts w:ascii="仿宋_GB2312" w:hAnsi="仿宋_GB2312" w:cs="仿宋_GB2312" w:eastAsia="仿宋_GB2312"/>
              </w:rPr>
              <w:t>根据供应商确保工期的技术及组 织安排进行评审。 确保工期技术组织措施总体思路清晰、合理、可执行程度强，且能很好推动项目实施得8分； 组织措施思路较清晰、可行性、合理性较强得6分； 组织措施思路较清晰、可行性、合理性一般得4分； 组织措施思路模糊、可行性、合理性一般得2分； 组织措施思路模糊、有缺漏项，不能保证项目工期得1分；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针对本项目提供可行的、并符合国家相关规范的售后保障工作服务承诺，提供售后团队人员基本信息和相关资格证书，具有详细的服务措施及对维修服务响应时限有明确的承诺。 售后服务承诺完善、团队配备科学合理、响应快速得8分； 售后服务承诺较完善、团队人员配备较合理、响应速度较快得6分； 售后服务承诺简略、团队人员配备较合理、响应速度一般得4分； 售后服务承诺有缺漏项、团队人员配备不齐全、响应速度慢得2分；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2022年9月1日起至今，供应商承担的同类项目业绩（以响应文件中提供的完整合同复印件为准），每提供1份有效业绩得2分，最多得10分。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20分。其他供应商的价格分按照下列公式计算：磋商报价得分=(磋商基准价/磋商报价)×20。计算结果最多保留两位小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详见附件：参加政府采购承诺书</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详见附件：项目管理机构组成表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