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版本号：SXZHZB2025-ZC029-CS20251110001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开评标辅助设备延续运维项目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SXZHZB2025-ZC029-CS</w:t>
      </w:r>
      <w:r>
        <w:br/>
      </w:r>
      <w:r>
        <w:br/>
      </w:r>
      <w:r>
        <w:br/>
      </w:r>
    </w:p>
    <w:p>
      <w:pPr>
        <w:pStyle w:val="null3"/>
        <w:jc w:val="center"/>
        <w:outlineLvl w:val="2"/>
      </w:pPr>
      <w:r>
        <w:rPr>
          <w:rFonts w:ascii="仿宋_GB2312" w:hAnsi="仿宋_GB2312" w:cs="仿宋_GB2312" w:eastAsia="仿宋_GB2312"/>
          <w:sz w:val="28"/>
          <w:b/>
        </w:rPr>
        <w:t>西安市公共资源交易中心</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西安市公共资源交易中心</w:t>
      </w:r>
      <w:r>
        <w:rPr>
          <w:rFonts w:ascii="仿宋_GB2312" w:hAnsi="仿宋_GB2312" w:cs="仿宋_GB2312" w:eastAsia="仿宋_GB2312"/>
        </w:rPr>
        <w:t>委托，拟对</w:t>
      </w:r>
      <w:r>
        <w:rPr>
          <w:rFonts w:ascii="仿宋_GB2312" w:hAnsi="仿宋_GB2312" w:cs="仿宋_GB2312" w:eastAsia="仿宋_GB2312"/>
        </w:rPr>
        <w:t>开评标辅助设备延续运维项目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SXZHZB2025-ZC029-CS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开评标辅助设备延续运维项目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采购专业的开评标辅助设备维保服务，保障西安市公共资源交易中心辅助开评标设备正常运转。实现对现有设备的定期维护和故障修复，延长设备使用寿命，提高资产利用率，实现整体成本节约和资源优化配置，避免因设备故障导致的业务中断和重复投资建设，确保交易中心能够持续、稳定地提供高质量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采购包1（开评标辅助设备延续运维项目）：属于专门面向中小企业采购。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西安市公共资源交易中心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西安经济技术开发区文景路（中段）16号白桦林国际B座1-11层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029-86510029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说明：合同签订前，供应商须以银行转账或支票/汇票/本票或保函/保险的形式向采购人提交履约保证金。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代理服务费收费标准：1、代理服务费：固定金额8000.00元。 2、代理服务费由成交供应商支付，在领取《成交通知书》前，由成交供应商一次性支付给陕西纵横项目管理有限公司。3、代理服务费缴纳账户：开户名称：陕西纵横项目管理有限公司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西安市公共资源交易中心</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西安市公共资源交易中心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西安市公共资源交易中心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采购专业的开评标辅助设备维保服务，保障西安市公共资源交易中心辅助开评标设备正常运转。实现对现有设备的定期维护和故障修复，延长设备使用寿命，提高资产利用率，实现整体成本节约和资源优化配置，避免因设备故障导致的业务中断和重复投资建设，确保交易中心能够持续、稳定地提供高质量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473,000.00</w:t>
      </w:r>
    </w:p>
    <w:p>
      <w:pPr>
        <w:pStyle w:val="null3"/>
      </w:pPr>
      <w:r>
        <w:rPr>
          <w:rFonts w:ascii="仿宋_GB2312" w:hAnsi="仿宋_GB2312" w:cs="仿宋_GB2312" w:eastAsia="仿宋_GB2312"/>
        </w:rPr>
        <w:t>采购包最高限价（元）: 473,000.00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开评标辅助设备延续运维项目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473,000.00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标的名称：开评标辅助设备延续运维项目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一、设备维保清单</w:t>
            </w:r>
          </w:p>
          <w:tbl>
            <w:tblPr>
              <w:tblBorders>
                <w:top w:val="none" w:color="000000" w:sz="4"/>
                <w:left w:val="none" w:color="000000" w:sz="4"/>
                <w:bottom w:val="none" w:color="000000" w:sz="4"/>
                <w:right w:val="none" w:color="000000" w:sz="4"/>
                <w:insideH w:val="none"/>
                <w:insideV w:val="none"/>
              </w:tblBorders>
            </w:tblPr>
            <w:tblGrid>
              <w:gridCol w:w="157"/>
              <w:gridCol w:w="506"/>
              <w:gridCol w:w="506"/>
              <w:gridCol w:w="615"/>
              <w:gridCol w:w="462"/>
              <w:gridCol w:w="293"/>
            </w:tblGrid>
            <w:tr>
              <w:tc>
                <w:tcPr>
                  <w:tcW w:type="dxa" w:w="157"/>
                  <w:tcBorders>
                    <w:top w:val="single" w:color="000000" w:sz="8"/>
                    <w:left w:val="single" w:color="000000" w:sz="8"/>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06"/>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506"/>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品牌</w:t>
                  </w:r>
                </w:p>
              </w:tc>
              <w:tc>
                <w:tcPr>
                  <w:tcW w:type="dxa" w:w="615"/>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型号</w:t>
                  </w:r>
                </w:p>
              </w:tc>
              <w:tc>
                <w:tcPr>
                  <w:tcW w:type="dxa" w:w="462"/>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93"/>
                  <w:tcBorders>
                    <w:top w:val="single" w:color="000000" w:sz="8"/>
                    <w:left w:val="single" w:color="000000" w:sz="4"/>
                    <w:bottom w:val="single" w:color="000000" w:sz="4"/>
                    <w:right w:val="single" w:color="000000" w:sz="8"/>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小计</w:t>
                  </w:r>
                </w:p>
              </w:tc>
            </w:tr>
            <w:tr>
              <w:tc>
                <w:tcPr>
                  <w:tcW w:type="dxa" w:w="15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开标终端</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惠普</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480G4</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27台</w:t>
                  </w:r>
                </w:p>
              </w:tc>
              <w:tc>
                <w:tcPr>
                  <w:tcW w:type="dxa" w:w="293"/>
                  <w:vMerge w:val="restart"/>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42台</w:t>
                  </w:r>
                </w:p>
              </w:tc>
            </w:tr>
            <w:tr>
              <w:tc>
                <w:tcPr>
                  <w:tcW w:type="dxa" w:w="157"/>
                  <w:vMerge/>
                  <w:tcBorders>
                    <w:top w:val="none" w:color="000000" w:sz="4"/>
                    <w:left w:val="single" w:color="000000" w:sz="8"/>
                    <w:bottom w:val="single" w:color="000000" w:sz="4"/>
                    <w:right w:val="single" w:color="000000" w:sz="4"/>
                  </w:tcBorders>
                </w:tcPr>
                <w:p/>
              </w:tc>
              <w:tc>
                <w:tcPr>
                  <w:tcW w:type="dxa" w:w="506"/>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联想</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启天</w:t>
                  </w:r>
                  <w:r>
                    <w:rPr>
                      <w:rFonts w:ascii="仿宋_GB2312" w:hAnsi="仿宋_GB2312" w:cs="仿宋_GB2312" w:eastAsia="仿宋_GB2312"/>
                      <w:sz w:val="21"/>
                      <w:color w:val="000000"/>
                    </w:rPr>
                    <w:t>M420</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15台</w:t>
                  </w:r>
                </w:p>
              </w:tc>
              <w:tc>
                <w:tcPr>
                  <w:tcW w:type="dxa" w:w="293"/>
                  <w:vMerge/>
                  <w:tcBorders>
                    <w:top w:val="none" w:color="000000" w:sz="4"/>
                    <w:left w:val="single" w:color="000000" w:sz="4"/>
                    <w:bottom w:val="single" w:color="000000" w:sz="4"/>
                    <w:right w:val="single" w:color="000000" w:sz="8"/>
                  </w:tcBorders>
                </w:tcPr>
                <w:p/>
              </w:tc>
            </w:tr>
            <w:tr>
              <w:tc>
                <w:tcPr>
                  <w:tcW w:type="dxa" w:w="157"/>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评标终端</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H3C</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X5-020s</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280台</w:t>
                  </w:r>
                </w:p>
              </w:tc>
              <w:tc>
                <w:tcPr>
                  <w:tcW w:type="dxa" w:w="293"/>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824台</w:t>
                  </w:r>
                </w:p>
              </w:tc>
            </w:tr>
            <w:tr>
              <w:tc>
                <w:tcPr>
                  <w:tcW w:type="dxa" w:w="157"/>
                  <w:vMerge/>
                  <w:tcBorders>
                    <w:top w:val="none" w:color="000000" w:sz="4"/>
                    <w:left w:val="single" w:color="000000" w:sz="8"/>
                    <w:bottom w:val="single" w:color="000000" w:sz="4"/>
                    <w:right w:val="single" w:color="000000" w:sz="4"/>
                  </w:tcBorders>
                </w:tcP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评标终端（云桌面终端）</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深信服</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Inspur aDesk 200</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544台</w:t>
                  </w:r>
                </w:p>
              </w:tc>
              <w:tc>
                <w:tcPr>
                  <w:tcW w:type="dxa" w:w="293"/>
                  <w:vMerge/>
                  <w:tcBorders>
                    <w:top w:val="single" w:color="000000" w:sz="4"/>
                    <w:left w:val="single" w:color="000000" w:sz="4"/>
                    <w:bottom w:val="single" w:color="000000" w:sz="4"/>
                    <w:right w:val="single" w:color="000000" w:sz="8"/>
                  </w:tcBorders>
                </w:tcPr>
                <w:p/>
              </w:tc>
            </w:tr>
            <w:tr>
              <w:tc>
                <w:tcPr>
                  <w:tcW w:type="dxa" w:w="157"/>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演示</w:t>
                  </w:r>
                  <w:r>
                    <w:rPr>
                      <w:rFonts w:ascii="仿宋_GB2312" w:hAnsi="仿宋_GB2312" w:cs="仿宋_GB2312" w:eastAsia="仿宋_GB2312"/>
                      <w:sz w:val="21"/>
                      <w:color w:val="000000"/>
                    </w:rPr>
                    <w:t>设备</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海信</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r>
                    <w:rPr>
                      <w:rFonts w:ascii="仿宋_GB2312" w:hAnsi="仿宋_GB2312" w:cs="仿宋_GB2312" w:eastAsia="仿宋_GB2312"/>
                      <w:sz w:val="21"/>
                      <w:color w:val="000000"/>
                    </w:rPr>
                    <w:t>吋</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51台</w:t>
                  </w:r>
                </w:p>
              </w:tc>
              <w:tc>
                <w:tcPr>
                  <w:tcW w:type="dxa" w:w="293"/>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131台</w:t>
                  </w:r>
                </w:p>
              </w:tc>
            </w:tr>
            <w:tr>
              <w:tc>
                <w:tcPr>
                  <w:tcW w:type="dxa" w:w="157"/>
                  <w:vMerge/>
                  <w:tcBorders>
                    <w:top w:val="single" w:color="000000" w:sz="4"/>
                    <w:left w:val="single" w:color="000000" w:sz="8"/>
                    <w:bottom w:val="single" w:color="000000" w:sz="4"/>
                    <w:right w:val="single" w:color="000000" w:sz="4"/>
                  </w:tcBorders>
                </w:tcPr>
                <w:p/>
              </w:tc>
              <w:tc>
                <w:tcPr>
                  <w:tcW w:type="dxa" w:w="506"/>
                  <w:vMerge/>
                  <w:tcBorders>
                    <w:top w:val="single" w:color="000000" w:sz="4"/>
                    <w:left w:val="single" w:color="000000" w:sz="4"/>
                    <w:bottom w:val="single" w:color="000000" w:sz="4"/>
                    <w:right w:val="single" w:color="000000" w:sz="4"/>
                  </w:tcBorders>
                </w:tcP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海信</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r>
                    <w:rPr>
                      <w:rFonts w:ascii="仿宋_GB2312" w:hAnsi="仿宋_GB2312" w:cs="仿宋_GB2312" w:eastAsia="仿宋_GB2312"/>
                      <w:sz w:val="21"/>
                      <w:color w:val="000000"/>
                    </w:rPr>
                    <w:t>吋</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6台</w:t>
                  </w:r>
                </w:p>
              </w:tc>
              <w:tc>
                <w:tcPr>
                  <w:tcW w:type="dxa" w:w="293"/>
                  <w:vMerge/>
                  <w:tcBorders>
                    <w:top w:val="single" w:color="000000" w:sz="4"/>
                    <w:left w:val="single" w:color="000000" w:sz="4"/>
                    <w:bottom w:val="single" w:color="000000" w:sz="4"/>
                    <w:right w:val="single" w:color="000000" w:sz="8"/>
                  </w:tcBorders>
                </w:tcPr>
                <w:p/>
              </w:tc>
            </w:tr>
            <w:tr>
              <w:tc>
                <w:tcPr>
                  <w:tcW w:type="dxa" w:w="157"/>
                  <w:vMerge/>
                  <w:tcBorders>
                    <w:top w:val="single" w:color="000000" w:sz="4"/>
                    <w:left w:val="single" w:color="000000" w:sz="8"/>
                    <w:bottom w:val="single" w:color="000000" w:sz="4"/>
                    <w:right w:val="single" w:color="000000" w:sz="4"/>
                  </w:tcBorders>
                </w:tcPr>
                <w:p/>
              </w:tc>
              <w:tc>
                <w:tcPr>
                  <w:tcW w:type="dxa" w:w="506"/>
                  <w:vMerge/>
                  <w:tcBorders>
                    <w:top w:val="single" w:color="000000" w:sz="4"/>
                    <w:left w:val="single" w:color="000000" w:sz="4"/>
                    <w:bottom w:val="single" w:color="000000" w:sz="4"/>
                    <w:right w:val="single" w:color="000000" w:sz="4"/>
                  </w:tcBorders>
                </w:tcP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NEC</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NP-P502HL +</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37台</w:t>
                  </w:r>
                </w:p>
              </w:tc>
              <w:tc>
                <w:tcPr>
                  <w:tcW w:type="dxa" w:w="293"/>
                  <w:vMerge/>
                  <w:tcBorders>
                    <w:top w:val="single" w:color="000000" w:sz="4"/>
                    <w:left w:val="single" w:color="000000" w:sz="4"/>
                    <w:bottom w:val="single" w:color="000000" w:sz="4"/>
                    <w:right w:val="single" w:color="000000" w:sz="8"/>
                  </w:tcBorders>
                </w:tcPr>
                <w:p/>
              </w:tc>
            </w:tr>
            <w:tr>
              <w:tc>
                <w:tcPr>
                  <w:tcW w:type="dxa" w:w="157"/>
                  <w:vMerge/>
                  <w:tcBorders>
                    <w:top w:val="single" w:color="000000" w:sz="4"/>
                    <w:left w:val="single" w:color="000000" w:sz="8"/>
                    <w:bottom w:val="single" w:color="000000" w:sz="4"/>
                    <w:right w:val="single" w:color="000000" w:sz="4"/>
                  </w:tcBorders>
                </w:tcPr>
                <w:p/>
              </w:tc>
              <w:tc>
                <w:tcPr>
                  <w:tcW w:type="dxa" w:w="506"/>
                  <w:vMerge/>
                  <w:tcBorders>
                    <w:top w:val="single" w:color="000000" w:sz="4"/>
                    <w:left w:val="single" w:color="000000" w:sz="4"/>
                    <w:bottom w:val="single" w:color="000000" w:sz="4"/>
                    <w:right w:val="single" w:color="000000" w:sz="4"/>
                  </w:tcBorders>
                </w:tcP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红叶</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100吋</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37部</w:t>
                  </w:r>
                </w:p>
              </w:tc>
              <w:tc>
                <w:tcPr>
                  <w:tcW w:type="dxa" w:w="293"/>
                  <w:vMerge/>
                  <w:tcBorders>
                    <w:top w:val="single" w:color="000000" w:sz="4"/>
                    <w:left w:val="single" w:color="000000" w:sz="4"/>
                    <w:bottom w:val="single" w:color="000000" w:sz="4"/>
                    <w:right w:val="single" w:color="000000" w:sz="8"/>
                  </w:tcBorders>
                </w:tcPr>
                <w:p/>
              </w:tc>
            </w:tr>
            <w:tr>
              <w:tc>
                <w:tcPr>
                  <w:tcW w:type="dxa" w:w="15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通讯设备（座机）</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NewRock</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NRP-1202</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186台</w:t>
                  </w:r>
                </w:p>
              </w:tc>
              <w:tc>
                <w:tcPr>
                  <w:tcW w:type="dxa" w:w="29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186台</w:t>
                  </w:r>
                </w:p>
              </w:tc>
            </w:tr>
            <w:tr>
              <w:tc>
                <w:tcPr>
                  <w:tcW w:type="dxa" w:w="15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会议系统（调音台、功放、电源时序器、音箱等）</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迪士普</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BY9011P、MX7500II、D7572II、D7563</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37套</w:t>
                  </w:r>
                </w:p>
              </w:tc>
              <w:tc>
                <w:tcPr>
                  <w:tcW w:type="dxa" w:w="29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37套</w:t>
                  </w:r>
                </w:p>
              </w:tc>
            </w:tr>
            <w:tr>
              <w:tc>
                <w:tcPr>
                  <w:tcW w:type="dxa" w:w="157"/>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输出设备</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激光打印机、一体机</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惠普、佳能、奔图等</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215台</w:t>
                  </w:r>
                </w:p>
              </w:tc>
              <w:tc>
                <w:tcPr>
                  <w:tcW w:type="dxa" w:w="293"/>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228台</w:t>
                  </w:r>
                </w:p>
              </w:tc>
            </w:tr>
            <w:tr>
              <w:tc>
                <w:tcPr>
                  <w:tcW w:type="dxa" w:w="157"/>
                  <w:vMerge/>
                  <w:tcBorders>
                    <w:top w:val="single" w:color="000000" w:sz="4"/>
                    <w:left w:val="single" w:color="000000" w:sz="8"/>
                    <w:bottom w:val="single" w:color="000000" w:sz="4"/>
                    <w:right w:val="single" w:color="000000" w:sz="4"/>
                  </w:tcBorders>
                </w:tcPr>
                <w:p/>
              </w:tc>
              <w:tc>
                <w:tcPr>
                  <w:tcW w:type="dxa" w:w="506"/>
                  <w:vMerge/>
                  <w:tcBorders>
                    <w:top w:val="single" w:color="000000" w:sz="4"/>
                    <w:left w:val="single" w:color="000000" w:sz="4"/>
                    <w:bottom w:val="single" w:color="000000" w:sz="4"/>
                    <w:right w:val="single" w:color="000000" w:sz="4"/>
                  </w:tcBorders>
                </w:tcP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密函、票据针式打印机</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爱普生、映美、得实等</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r>
                    <w:rPr>
                      <w:rFonts w:ascii="仿宋_GB2312" w:hAnsi="仿宋_GB2312" w:cs="仿宋_GB2312" w:eastAsia="仿宋_GB2312"/>
                      <w:sz w:val="21"/>
                      <w:color w:val="000000"/>
                    </w:rPr>
                    <w:t>台</w:t>
                  </w:r>
                </w:p>
              </w:tc>
              <w:tc>
                <w:tcPr>
                  <w:tcW w:type="dxa" w:w="293"/>
                  <w:vMerge/>
                  <w:tcBorders>
                    <w:top w:val="single" w:color="000000" w:sz="4"/>
                    <w:left w:val="single" w:color="000000" w:sz="4"/>
                    <w:bottom w:val="single" w:color="000000" w:sz="4"/>
                    <w:right w:val="single" w:color="000000" w:sz="8"/>
                  </w:tcBorders>
                </w:tcPr>
                <w:p/>
              </w:tc>
            </w:tr>
            <w:tr>
              <w:tc>
                <w:tcPr>
                  <w:tcW w:type="dxa" w:w="157"/>
                  <w:vMerge/>
                  <w:tcBorders>
                    <w:top w:val="single" w:color="000000" w:sz="4"/>
                    <w:left w:val="single" w:color="000000" w:sz="8"/>
                    <w:bottom w:val="single" w:color="000000" w:sz="4"/>
                    <w:right w:val="single" w:color="000000" w:sz="4"/>
                  </w:tcBorders>
                </w:tcPr>
                <w:p/>
              </w:tc>
              <w:tc>
                <w:tcPr>
                  <w:tcW w:type="dxa" w:w="506"/>
                  <w:vMerge/>
                  <w:tcBorders>
                    <w:top w:val="single" w:color="000000" w:sz="4"/>
                    <w:left w:val="single" w:color="000000" w:sz="4"/>
                    <w:bottom w:val="single" w:color="000000" w:sz="4"/>
                    <w:right w:val="single" w:color="000000" w:sz="4"/>
                  </w:tcBorders>
                </w:tcP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复印机</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佳能、富士施乐</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color w:val="000000"/>
                    </w:rPr>
                    <w:t>台</w:t>
                  </w:r>
                </w:p>
              </w:tc>
              <w:tc>
                <w:tcPr>
                  <w:tcW w:type="dxa" w:w="293"/>
                  <w:vMerge/>
                  <w:tcBorders>
                    <w:top w:val="single" w:color="000000" w:sz="4"/>
                    <w:left w:val="single" w:color="000000" w:sz="4"/>
                    <w:bottom w:val="single" w:color="000000" w:sz="4"/>
                    <w:right w:val="single" w:color="000000" w:sz="8"/>
                  </w:tcBorders>
                </w:tcPr>
                <w:p/>
              </w:tc>
            </w:tr>
            <w:tr>
              <w:tc>
                <w:tcPr>
                  <w:tcW w:type="dxa" w:w="15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w:t>
                  </w:r>
                </w:p>
              </w:tc>
              <w:tc>
                <w:tcPr>
                  <w:tcW w:type="dxa" w:w="2382"/>
                  <w:gridSpan w:val="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开标终端、评标终端维保除硬件设备本身外，还包括其上安装的基础软件（操作系统、驱动程序、基础办公软件及业务客户端）维护，下文不再赘述。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2.1 设备巡检</w:t>
            </w:r>
          </w:p>
          <w:p>
            <w:pPr>
              <w:pStyle w:val="null3"/>
              <w:ind w:firstLine="420"/>
              <w:jc w:val="both"/>
            </w:pPr>
            <w:r>
              <w:rPr>
                <w:rFonts w:ascii="仿宋_GB2312" w:hAnsi="仿宋_GB2312" w:cs="仿宋_GB2312" w:eastAsia="仿宋_GB2312"/>
                <w:sz w:val="21"/>
              </w:rPr>
              <w:t>遵循</w:t>
            </w:r>
            <w:r>
              <w:rPr>
                <w:rFonts w:ascii="仿宋_GB2312" w:hAnsi="仿宋_GB2312" w:cs="仿宋_GB2312" w:eastAsia="仿宋_GB2312"/>
                <w:sz w:val="21"/>
              </w:rPr>
              <w:t>“预防优于修复”的维护策略，优先实施预防性维护措施以减少故障发生，从而降低维修成本并提高系统可靠性。驻场人员每天巡查各楼层开标室、评标室、询标室的设备状态，发现问题，及时解决；每季进行一次设备巡检和预防性维护，并在巡检结束后3个工作日内提交巡检报告，巡检内容至少包括：</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1.检查设备错误日志，并对错误日志进行分析，消除故障隐患。</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2.检查系统补丁，确认无误并征得采购人批准的情况下进行升级。</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3.检查各设备的电源线、数据线、信号线连接情况，避免打结、缠绕或松动。</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4.对开评标输出设备进行清洁和保养，包括去除灰尘、碎屑和墨粉等，以保持设备性能和延长使用寿命。</w:t>
            </w:r>
          </w:p>
          <w:p>
            <w:pPr>
              <w:pStyle w:val="null3"/>
              <w:ind w:firstLine="420"/>
              <w:jc w:val="both"/>
            </w:pPr>
            <w:r>
              <w:rPr>
                <w:rFonts w:ascii="仿宋_GB2312" w:hAnsi="仿宋_GB2312" w:cs="仿宋_GB2312" w:eastAsia="仿宋_GB2312"/>
                <w:sz w:val="21"/>
              </w:rPr>
              <w:t>2.2 故障维修</w:t>
            </w:r>
          </w:p>
          <w:p>
            <w:pPr>
              <w:pStyle w:val="null3"/>
              <w:ind w:firstLine="420"/>
              <w:jc w:val="both"/>
            </w:pPr>
            <w:r>
              <w:rPr>
                <w:rFonts w:ascii="仿宋_GB2312" w:hAnsi="仿宋_GB2312" w:cs="仿宋_GB2312" w:eastAsia="仿宋_GB2312"/>
                <w:sz w:val="21"/>
              </w:rPr>
              <w:t>故障诊断与修复是本项目的核心环节和关键组成部分，也是最具技术含量的部分。对出现的故障、紧急事项，无论故障性质及来源，驻场人员必须在规定时间内到达现场，运用专业知识、技能和工具，对诊断出的故障进行有效的处理，随报随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1.更换损坏部件：对于损坏的硬件部件（如计算机内存、硬盘，打印机的硒鼓、墨盒、传感器等），优先使用备件进行更换，保证交易活动不中断。供应商应保证有充足的常用备件（内存、存储磁盘、电源模块等），以便在设备出现故障时能够迅速进行更换，减少停机时间。备品备件必须符合相关技术规范和标准，确保其能够与现有设备兼容并满足设备运行的基本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2.修复电路故障：对替换下来的电子配件，首先尝试进行修复，如焊接、更换损坏的电子元件、修复断线等，确保电路的正常连接和功能。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3.机械部件检修：对设备的机械部件进行检修，如清洁齿轮、润滑轴承、调整皮带等，确保机械部件的灵活运转和稳定性。</w:t>
            </w:r>
          </w:p>
          <w:p>
            <w:pPr>
              <w:pStyle w:val="null3"/>
              <w:ind w:firstLine="420"/>
              <w:jc w:val="both"/>
            </w:pPr>
            <w:r>
              <w:rPr>
                <w:rFonts w:ascii="仿宋_GB2312" w:hAnsi="仿宋_GB2312" w:cs="仿宋_GB2312" w:eastAsia="仿宋_GB2312"/>
                <w:sz w:val="21"/>
              </w:rPr>
              <w:t>故障处理完毕后，驻场人员需及时提交详细的维修报告，记录故障现象、处理过程、更换配件情况等信息，为采购人后续的设备维护和管理提供有力支持。</w:t>
            </w:r>
          </w:p>
          <w:p>
            <w:pPr>
              <w:pStyle w:val="null3"/>
              <w:ind w:firstLine="420"/>
              <w:jc w:val="both"/>
            </w:pPr>
            <w:r>
              <w:rPr>
                <w:rFonts w:ascii="仿宋_GB2312" w:hAnsi="仿宋_GB2312" w:cs="仿宋_GB2312" w:eastAsia="仿宋_GB2312"/>
                <w:sz w:val="21"/>
              </w:rPr>
              <w:t>2.3 硬件升级与性能优化</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1.根据设备性能和使用需求，提供硬件升级建议及方案，报采购人同意后方可实施。同时根据采购人需求，提供设备的迁移、安装、配置、调试等服务。</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2.确保每台开、评标终端一年内至少接受一次年中维护保养和一次年度维护保养，清理开评标终端设备内存和硬盘，清理不必要的文件和应用程序，以提高设备的运行速度和响应能力。维护后在《维护记录表》上及时记录，对设备维护情况做详细说明，由维护人员和采购人相关责任人签字确认。</w:t>
            </w:r>
          </w:p>
          <w:p>
            <w:pPr>
              <w:pStyle w:val="null3"/>
              <w:ind w:firstLine="420"/>
              <w:jc w:val="both"/>
            </w:pPr>
            <w:r>
              <w:rPr>
                <w:rFonts w:ascii="仿宋_GB2312" w:hAnsi="仿宋_GB2312" w:cs="仿宋_GB2312" w:eastAsia="仿宋_GB2312"/>
                <w:sz w:val="21"/>
              </w:rPr>
              <w:t>2.4 原厂技术支持</w:t>
            </w:r>
          </w:p>
          <w:p>
            <w:pPr>
              <w:pStyle w:val="null3"/>
              <w:ind w:firstLine="420"/>
              <w:jc w:val="both"/>
            </w:pPr>
            <w:r>
              <w:rPr>
                <w:rFonts w:ascii="仿宋_GB2312" w:hAnsi="仿宋_GB2312" w:cs="仿宋_GB2312" w:eastAsia="仿宋_GB2312"/>
                <w:sz w:val="21"/>
              </w:rPr>
              <w:t>提供云桌面终端设备的原厂技术支持服务，必要时应协调厂家进行故障处理等工作。</w:t>
            </w:r>
          </w:p>
          <w:p>
            <w:pPr>
              <w:pStyle w:val="null3"/>
              <w:ind w:firstLine="420"/>
              <w:jc w:val="both"/>
            </w:pPr>
            <w:r>
              <w:rPr>
                <w:rFonts w:ascii="仿宋_GB2312" w:hAnsi="仿宋_GB2312" w:cs="仿宋_GB2312" w:eastAsia="仿宋_GB2312"/>
                <w:sz w:val="21"/>
              </w:rPr>
              <w:t xml:space="preserve">2.5 </w:t>
            </w:r>
            <w:r>
              <w:rPr>
                <w:rFonts w:ascii="仿宋_GB2312" w:hAnsi="仿宋_GB2312" w:cs="仿宋_GB2312" w:eastAsia="仿宋_GB2312"/>
                <w:sz w:val="21"/>
              </w:rPr>
              <w:t>备品备件</w:t>
            </w:r>
          </w:p>
          <w:p>
            <w:pPr>
              <w:pStyle w:val="null3"/>
              <w:ind w:firstLine="420"/>
              <w:jc w:val="both"/>
            </w:pPr>
            <w:r>
              <w:rPr>
                <w:rFonts w:ascii="仿宋_GB2312" w:hAnsi="仿宋_GB2312" w:cs="仿宋_GB2312" w:eastAsia="仿宋_GB2312"/>
                <w:sz w:val="21"/>
              </w:rPr>
              <w:t>建立完善的备件库存体系，确保易损件的充足供应（包括但不限于内存条、存储磁盘、鼓芯、键鼠、电源模块等），当设备需要更换零部件时，能够及时提供所需的备件，减少因备件短缺导致的设备维修延迟。对于一些关键的设备，在设备维修期间，提供备机供客户临时使用，直到故障设备修复完毕。</w:t>
            </w:r>
          </w:p>
          <w:p>
            <w:pPr>
              <w:pStyle w:val="null3"/>
              <w:ind w:firstLine="420"/>
              <w:jc w:val="both"/>
            </w:pPr>
            <w:r>
              <w:rPr>
                <w:rFonts w:ascii="仿宋_GB2312" w:hAnsi="仿宋_GB2312" w:cs="仿宋_GB2312" w:eastAsia="仿宋_GB2312"/>
                <w:sz w:val="21"/>
              </w:rPr>
              <w:t>2.6 其他配合保障</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1.用户培训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1）操作培训：向设备使用人员进行操作培训，使其熟悉设备的各项功能和正确操作方法，避免因误操作导致设备故障，提高设备的使用效率和使用寿命。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2）维护保养培训：向采购人技术人员传授日常维护保养的知识和技巧，如设备的清洁、简单故障的排查与处理等，使他们能够在日常使用中及时发现并解决一些小问题，减少设备的故障发生率。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3）培训资料、授课师资由供应商负责。</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2.重大节日巡查</w:t>
            </w:r>
          </w:p>
          <w:p>
            <w:pPr>
              <w:pStyle w:val="null3"/>
              <w:ind w:firstLine="420"/>
              <w:jc w:val="both"/>
            </w:pPr>
            <w:r>
              <w:rPr>
                <w:rFonts w:ascii="仿宋_GB2312" w:hAnsi="仿宋_GB2312" w:cs="仿宋_GB2312" w:eastAsia="仿宋_GB2312"/>
                <w:sz w:val="21"/>
              </w:rPr>
              <w:t>逢春节、五一、国庆等重大节日，驻场维保人员于节前最后一天、节日最后一天，对设备进行一次巡查，并做好巡查结果记录。</w:t>
            </w:r>
          </w:p>
          <w:p>
            <w:pPr>
              <w:pStyle w:val="null3"/>
              <w:ind w:firstLine="420"/>
              <w:jc w:val="both"/>
            </w:pPr>
            <w:r>
              <w:rPr>
                <w:rFonts w:ascii="仿宋_GB2312" w:hAnsi="仿宋_GB2312" w:cs="仿宋_GB2312" w:eastAsia="仿宋_GB2312"/>
                <w:sz w:val="21"/>
              </w:rPr>
              <w:t>2.6.3.搬迁相关服务要求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1）搬迁前的维保服务：供应商在搬迁前对现有设备进行一次全面的健康检查，并提供设备清单和现状报告。</w:t>
            </w:r>
          </w:p>
          <w:p>
            <w:pPr>
              <w:pStyle w:val="null3"/>
            </w:pPr>
            <w:r>
              <w:rPr>
                <w:rFonts w:ascii="仿宋_GB2312" w:hAnsi="仿宋_GB2312" w:cs="仿宋_GB2312" w:eastAsia="仿宋_GB2312"/>
                <w:sz w:val="21"/>
              </w:rPr>
              <w:t>（</w:t>
            </w:r>
            <w:r>
              <w:rPr>
                <w:rFonts w:ascii="仿宋_GB2312" w:hAnsi="仿宋_GB2312" w:cs="仿宋_GB2312" w:eastAsia="仿宋_GB2312"/>
                <w:sz w:val="21"/>
              </w:rPr>
              <w:t>2）搬迁过程中的支持：在搬迁过程中，提供全程技术指导服务，指导搬迁施工方完成搬迁工作，直至设备稳定运行。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rPr>
              <w:t>3.1 人员要求</w:t>
            </w:r>
          </w:p>
          <w:p>
            <w:pPr>
              <w:pStyle w:val="null3"/>
              <w:ind w:firstLine="420"/>
              <w:jc w:val="both"/>
            </w:pPr>
            <w:r>
              <w:rPr>
                <w:rFonts w:ascii="仿宋_GB2312" w:hAnsi="仿宋_GB2312" w:cs="仿宋_GB2312" w:eastAsia="仿宋_GB2312"/>
                <w:sz w:val="21"/>
              </w:rPr>
              <w:t>至少提供</w:t>
            </w:r>
            <w:r>
              <w:rPr>
                <w:rFonts w:ascii="仿宋_GB2312" w:hAnsi="仿宋_GB2312" w:cs="仿宋_GB2312" w:eastAsia="仿宋_GB2312"/>
                <w:sz w:val="21"/>
              </w:rPr>
              <w:t>3名</w:t>
            </w:r>
            <w:r>
              <w:rPr>
                <w:rFonts w:ascii="仿宋_GB2312" w:hAnsi="仿宋_GB2312" w:cs="仿宋_GB2312" w:eastAsia="仿宋_GB2312"/>
                <w:sz w:val="21"/>
              </w:rPr>
              <w:t>驻场</w:t>
            </w:r>
            <w:r>
              <w:rPr>
                <w:rFonts w:ascii="仿宋_GB2312" w:hAnsi="仿宋_GB2312" w:cs="仿宋_GB2312" w:eastAsia="仿宋_GB2312"/>
                <w:sz w:val="21"/>
              </w:rPr>
              <w:t>维保</w:t>
            </w:r>
            <w:r>
              <w:rPr>
                <w:rFonts w:ascii="仿宋_GB2312" w:hAnsi="仿宋_GB2312" w:cs="仿宋_GB2312" w:eastAsia="仿宋_GB2312"/>
                <w:sz w:val="21"/>
              </w:rPr>
              <w:t>人员。</w:t>
            </w:r>
            <w:r>
              <w:rPr>
                <w:rFonts w:ascii="仿宋_GB2312" w:hAnsi="仿宋_GB2312" w:cs="仿宋_GB2312" w:eastAsia="仿宋_GB2312"/>
                <w:sz w:val="21"/>
              </w:rPr>
              <w:t>驻场</w:t>
            </w:r>
            <w:r>
              <w:rPr>
                <w:rFonts w:ascii="仿宋_GB2312" w:hAnsi="仿宋_GB2312" w:cs="仿宋_GB2312" w:eastAsia="仿宋_GB2312"/>
                <w:sz w:val="21"/>
              </w:rPr>
              <w:t>维保</w:t>
            </w:r>
            <w:r>
              <w:rPr>
                <w:rFonts w:ascii="仿宋_GB2312" w:hAnsi="仿宋_GB2312" w:cs="仿宋_GB2312" w:eastAsia="仿宋_GB2312"/>
                <w:sz w:val="21"/>
              </w:rPr>
              <w:t>人员应具备计算机、电子工程等相关专业中级及以上证书和</w:t>
            </w:r>
            <w:r>
              <w:rPr>
                <w:rFonts w:ascii="仿宋_GB2312" w:hAnsi="仿宋_GB2312" w:cs="仿宋_GB2312" w:eastAsia="仿宋_GB2312"/>
                <w:sz w:val="21"/>
              </w:rPr>
              <w:t>2年以上设备维保经验，熟悉设备的结构、原理和常见故障，能够准确诊断和处理各种技术性问题。</w:t>
            </w:r>
          </w:p>
          <w:p>
            <w:pPr>
              <w:pStyle w:val="null3"/>
              <w:ind w:firstLine="420"/>
              <w:jc w:val="both"/>
            </w:pPr>
            <w:r>
              <w:rPr>
                <w:rFonts w:ascii="仿宋_GB2312" w:hAnsi="仿宋_GB2312" w:cs="仿宋_GB2312" w:eastAsia="仿宋_GB2312"/>
                <w:sz w:val="21"/>
              </w:rPr>
              <w:t>注：提供上述人员身份证扫描件、社保证明材料（社保须为投标供应商缴纳，第三方人事代理机构代为缴纳无效）、有效的资质证书扫描件。</w:t>
            </w:r>
          </w:p>
          <w:p>
            <w:pPr>
              <w:pStyle w:val="null3"/>
              <w:ind w:firstLine="420"/>
              <w:jc w:val="both"/>
            </w:pPr>
            <w:r>
              <w:rPr>
                <w:rFonts w:ascii="仿宋_GB2312" w:hAnsi="仿宋_GB2312" w:cs="仿宋_GB2312" w:eastAsia="仿宋_GB2312"/>
                <w:sz w:val="21"/>
              </w:rPr>
              <w:t>3.2 管理要求</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w:t>
            </w:r>
            <w:r>
              <w:rPr>
                <w:rFonts w:ascii="仿宋_GB2312" w:hAnsi="仿宋_GB2312" w:cs="仿宋_GB2312" w:eastAsia="仿宋_GB2312"/>
                <w:sz w:val="21"/>
              </w:rPr>
              <w:t>1.供应商应保持运维团队人员稳定。项目管理人员、</w:t>
            </w:r>
            <w:r>
              <w:rPr>
                <w:rFonts w:ascii="仿宋_GB2312" w:hAnsi="仿宋_GB2312" w:cs="仿宋_GB2312" w:eastAsia="仿宋_GB2312"/>
                <w:sz w:val="21"/>
              </w:rPr>
              <w:t>驻场</w:t>
            </w:r>
            <w:r>
              <w:rPr>
                <w:rFonts w:ascii="仿宋_GB2312" w:hAnsi="仿宋_GB2312" w:cs="仿宋_GB2312" w:eastAsia="仿宋_GB2312"/>
                <w:sz w:val="21"/>
              </w:rPr>
              <w:t>维保</w:t>
            </w:r>
            <w:r>
              <w:rPr>
                <w:rFonts w:ascii="仿宋_GB2312" w:hAnsi="仿宋_GB2312" w:cs="仿宋_GB2312" w:eastAsia="仿宋_GB2312"/>
                <w:sz w:val="21"/>
              </w:rPr>
              <w:t>人员更换需书面报请采购人，采购人同意后方可更换。</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w:t>
            </w:r>
            <w:r>
              <w:rPr>
                <w:rFonts w:ascii="仿宋_GB2312" w:hAnsi="仿宋_GB2312" w:cs="仿宋_GB2312" w:eastAsia="仿宋_GB2312"/>
                <w:sz w:val="21"/>
              </w:rPr>
              <w:t>2.供应商应建立相应的用户设备档案库（含设备以及服务），便于及时获得设备运行状况、设备维修档案、常见故障及处理方案、用户意见反馈等重要技术资料。</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w:t>
            </w:r>
            <w:r>
              <w:rPr>
                <w:rFonts w:ascii="仿宋_GB2312" w:hAnsi="仿宋_GB2312" w:cs="仿宋_GB2312" w:eastAsia="仿宋_GB2312"/>
                <w:sz w:val="21"/>
              </w:rPr>
              <w:t>3.供应商应当保证用户设备及数据的安全，并对维护过程中接触的用户的所有相关数据进行保密，不得外泄。否则，由此引起的所有责任，采购人保留追究供应商责任的权力。</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w:t>
            </w:r>
            <w:r>
              <w:rPr>
                <w:rFonts w:ascii="仿宋_GB2312" w:hAnsi="仿宋_GB2312" w:cs="仿宋_GB2312" w:eastAsia="仿宋_GB2312"/>
                <w:sz w:val="21"/>
              </w:rPr>
              <w:t>4.提供技术支持热线，可及时解答日常技术问题咨询。</w:t>
            </w:r>
          </w:p>
          <w:p>
            <w:pPr>
              <w:pStyle w:val="null3"/>
              <w:ind w:firstLine="420"/>
              <w:jc w:val="both"/>
            </w:pPr>
            <w:r>
              <w:rPr>
                <w:rFonts w:ascii="仿宋_GB2312" w:hAnsi="仿宋_GB2312" w:cs="仿宋_GB2312" w:eastAsia="仿宋_GB2312"/>
                <w:sz w:val="21"/>
              </w:rPr>
              <w:t>3.3 伴随保障要求</w:t>
            </w:r>
          </w:p>
          <w:p>
            <w:pPr>
              <w:pStyle w:val="null3"/>
              <w:ind w:firstLine="420"/>
              <w:jc w:val="both"/>
            </w:pPr>
            <w:r>
              <w:rPr>
                <w:rFonts w:ascii="仿宋_GB2312" w:hAnsi="仿宋_GB2312" w:cs="仿宋_GB2312" w:eastAsia="仿宋_GB2312"/>
                <w:sz w:val="21"/>
              </w:rPr>
              <w:t>为防止紧急故障造成的交易活动中断，要求</w:t>
            </w:r>
            <w:r>
              <w:rPr>
                <w:rFonts w:ascii="仿宋_GB2312" w:hAnsi="仿宋_GB2312" w:cs="仿宋_GB2312" w:eastAsia="仿宋_GB2312"/>
                <w:sz w:val="21"/>
              </w:rPr>
              <w:t>驻场</w:t>
            </w:r>
            <w:r>
              <w:rPr>
                <w:rFonts w:ascii="仿宋_GB2312" w:hAnsi="仿宋_GB2312" w:cs="仿宋_GB2312" w:eastAsia="仿宋_GB2312"/>
                <w:sz w:val="21"/>
              </w:rPr>
              <w:t>维保人员按照交易活动日程表，坚守岗位，直到当日交易活动全部结束。同时，提供电话、网络技术支持，及时解答和处置交易现场提出的技术咨询或故障报告。</w:t>
            </w:r>
          </w:p>
          <w:p>
            <w:pPr>
              <w:pStyle w:val="null3"/>
              <w:ind w:firstLine="420"/>
              <w:jc w:val="both"/>
            </w:pPr>
            <w:r>
              <w:rPr>
                <w:rFonts w:ascii="仿宋_GB2312" w:hAnsi="仿宋_GB2312" w:cs="仿宋_GB2312" w:eastAsia="仿宋_GB2312"/>
                <w:sz w:val="21"/>
              </w:rPr>
              <w:t>3.4 成果交付要求</w:t>
            </w:r>
          </w:p>
          <w:p>
            <w:pPr>
              <w:pStyle w:val="null3"/>
              <w:ind w:firstLine="408"/>
              <w:jc w:val="both"/>
            </w:pPr>
            <w:r>
              <w:rPr>
                <w:rFonts w:ascii="仿宋_GB2312" w:hAnsi="仿宋_GB2312" w:cs="仿宋_GB2312" w:eastAsia="仿宋_GB2312"/>
                <w:sz w:val="21"/>
              </w:rPr>
              <w:t>供应商应按照采购人的要求编制相关维护文档，维保服务文档（含纸质版和电子版）的提交应覆盖：</w:t>
            </w:r>
          </w:p>
          <w:p>
            <w:pPr>
              <w:pStyle w:val="null3"/>
              <w:ind w:firstLine="420"/>
              <w:jc w:val="both"/>
            </w:pP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1.巡检报告，每季度巡检结束后3个工作日内提交；</w:t>
            </w:r>
          </w:p>
          <w:p>
            <w:pPr>
              <w:pStyle w:val="null3"/>
              <w:ind w:firstLine="420"/>
              <w:jc w:val="both"/>
            </w:pP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2.故障维修报告，故障处理结束后3个工作日内提交，根据实际情况，不限定次数；</w:t>
            </w:r>
          </w:p>
          <w:p>
            <w:pPr>
              <w:pStyle w:val="null3"/>
              <w:ind w:firstLine="420"/>
              <w:jc w:val="both"/>
            </w:pP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3.每月工作日志，至少包括设备异常情况描述、处理措施、处理结果等，每月结束后3个工作日内提交；</w:t>
            </w:r>
          </w:p>
          <w:p>
            <w:pPr>
              <w:pStyle w:val="null3"/>
              <w:ind w:firstLine="420"/>
              <w:jc w:val="both"/>
            </w:pP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4.维保建议及方案，根据实际需要，不限定次数。</w:t>
            </w:r>
          </w:p>
          <w:p>
            <w:pPr>
              <w:pStyle w:val="null3"/>
              <w:ind w:firstLine="408"/>
              <w:jc w:val="both"/>
            </w:pPr>
            <w:r>
              <w:rPr>
                <w:rFonts w:ascii="仿宋_GB2312" w:hAnsi="仿宋_GB2312" w:cs="仿宋_GB2312" w:eastAsia="仿宋_GB2312"/>
                <w:sz w:val="21"/>
              </w:rPr>
              <w:t>3.5 安全要求</w:t>
            </w:r>
          </w:p>
          <w:p>
            <w:pPr>
              <w:pStyle w:val="null3"/>
              <w:ind w:firstLine="408"/>
              <w:jc w:val="both"/>
            </w:pP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1.维修人员在维修带电设备时，应严格遵守安全操作规程，正确使用维修工具和设备，防止发生触电、机械伤害等安全事故。</w:t>
            </w:r>
          </w:p>
          <w:p>
            <w:pPr>
              <w:pStyle w:val="null3"/>
              <w:ind w:firstLine="408"/>
              <w:jc w:val="both"/>
            </w:pP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2.对于涉及电气维修的部分，确保设备断电并采取必要的安全措施，如佩戴绝缘手套、使用绝缘工具等。</w:t>
            </w:r>
          </w:p>
          <w:p>
            <w:pPr>
              <w:pStyle w:val="null3"/>
            </w:pP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因维保人员违反安全操作规程所引发的经济损失及法律后果由服务商承担。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b/>
              </w:rPr>
              <w:t>四、服务标准</w:t>
            </w:r>
          </w:p>
          <w:p>
            <w:pPr>
              <w:pStyle w:val="null3"/>
              <w:ind w:firstLine="408"/>
              <w:jc w:val="both"/>
            </w:pPr>
            <w:r>
              <w:rPr>
                <w:rFonts w:ascii="仿宋_GB2312" w:hAnsi="仿宋_GB2312" w:cs="仿宋_GB2312" w:eastAsia="仿宋_GB2312"/>
                <w:sz w:val="21"/>
              </w:rPr>
              <w:t>4.1 应急保障标准</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1.紧急故障事件等级划分</w:t>
            </w:r>
          </w:p>
          <w:p>
            <w:pPr>
              <w:pStyle w:val="null3"/>
              <w:ind w:firstLine="408"/>
              <w:jc w:val="both"/>
            </w:pPr>
            <w:r>
              <w:rPr>
                <w:rFonts w:ascii="仿宋_GB2312" w:hAnsi="仿宋_GB2312" w:cs="仿宋_GB2312" w:eastAsia="仿宋_GB2312"/>
                <w:sz w:val="21"/>
              </w:rPr>
              <w:t>S1级：实时系统中断，全部用户无法访问。</w:t>
            </w:r>
          </w:p>
          <w:p>
            <w:pPr>
              <w:pStyle w:val="null3"/>
              <w:ind w:firstLine="408"/>
              <w:jc w:val="both"/>
            </w:pPr>
            <w:r>
              <w:rPr>
                <w:rFonts w:ascii="仿宋_GB2312" w:hAnsi="仿宋_GB2312" w:cs="仿宋_GB2312" w:eastAsia="仿宋_GB2312"/>
                <w:sz w:val="21"/>
              </w:rPr>
              <w:t>S2级：实时系统出现性能下降、非实时系统中断、部分用户无法访问。</w:t>
            </w:r>
          </w:p>
          <w:p>
            <w:pPr>
              <w:pStyle w:val="null3"/>
              <w:ind w:firstLine="408"/>
              <w:jc w:val="both"/>
            </w:pPr>
            <w:r>
              <w:rPr>
                <w:rFonts w:ascii="仿宋_GB2312" w:hAnsi="仿宋_GB2312" w:cs="仿宋_GB2312" w:eastAsia="仿宋_GB2312"/>
                <w:sz w:val="21"/>
              </w:rPr>
              <w:t>S3级：个别用户不能访问服务、部分用户访问变慢。</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2.应急响应流程</w:t>
            </w:r>
          </w:p>
          <w:tbl>
            <w:tblPr>
              <w:tblBorders>
                <w:top w:val="none" w:color="000000" w:sz="4"/>
                <w:left w:val="none" w:color="000000" w:sz="4"/>
                <w:bottom w:val="none" w:color="000000" w:sz="4"/>
                <w:right w:val="none" w:color="000000" w:sz="4"/>
                <w:insideH w:val="none"/>
                <w:insideV w:val="none"/>
              </w:tblBorders>
            </w:tblPr>
            <w:tblGrid>
              <w:gridCol w:w="254"/>
              <w:gridCol w:w="259"/>
              <w:gridCol w:w="414"/>
              <w:gridCol w:w="1005"/>
              <w:gridCol w:w="613"/>
            </w:tblGrid>
            <w:tr>
              <w:tc>
                <w:tcPr>
                  <w:tcW w:type="dxa" w:w="254"/>
                  <w:tcBorders>
                    <w:top w:val="single" w:color="000000" w:sz="8"/>
                    <w:left w:val="single" w:color="000000" w:sz="8"/>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59"/>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流程</w:t>
                  </w:r>
                </w:p>
              </w:tc>
              <w:tc>
                <w:tcPr>
                  <w:tcW w:type="dxa" w:w="414"/>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责任人</w:t>
                  </w:r>
                </w:p>
              </w:tc>
              <w:tc>
                <w:tcPr>
                  <w:tcW w:type="dxa" w:w="1005"/>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操作步骤</w:t>
                  </w:r>
                </w:p>
              </w:tc>
              <w:tc>
                <w:tcPr>
                  <w:tcW w:type="dxa" w:w="613"/>
                  <w:tcBorders>
                    <w:top w:val="single" w:color="000000" w:sz="8"/>
                    <w:left w:val="single" w:color="000000" w:sz="4"/>
                    <w:bottom w:val="single" w:color="000000" w:sz="4"/>
                    <w:right w:val="single" w:color="000000" w:sz="8"/>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时间要求</w:t>
                  </w:r>
                </w:p>
              </w:tc>
            </w:tr>
            <w:tr>
              <w:tc>
                <w:tcPr>
                  <w:tcW w:type="dxa" w:w="254"/>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故障报告与初步响应</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w:t>
                  </w:r>
                  <w:r>
                    <w:rPr>
                      <w:rFonts w:ascii="仿宋_GB2312" w:hAnsi="仿宋_GB2312" w:cs="仿宋_GB2312" w:eastAsia="仿宋_GB2312"/>
                      <w:sz w:val="21"/>
                    </w:rPr>
                    <w:t>维保</w:t>
                  </w:r>
                  <w:r>
                    <w:rPr>
                      <w:rFonts w:ascii="仿宋_GB2312" w:hAnsi="仿宋_GB2312" w:cs="仿宋_GB2312" w:eastAsia="仿宋_GB2312"/>
                      <w:sz w:val="21"/>
                    </w:rPr>
                    <w:t>人员</w:t>
                  </w:r>
                  <w:r>
                    <w:rPr>
                      <w:rFonts w:ascii="仿宋_GB2312" w:hAnsi="仿宋_GB2312" w:cs="仿宋_GB2312" w:eastAsia="仿宋_GB2312"/>
                      <w:sz w:val="21"/>
                    </w:rPr>
                    <w:t>/值班人员</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8"/>
                    <w:jc w:val="both"/>
                  </w:pPr>
                  <w:r>
                    <w:rPr>
                      <w:rFonts w:ascii="仿宋_GB2312" w:hAnsi="仿宋_GB2312" w:cs="仿宋_GB2312" w:eastAsia="仿宋_GB2312"/>
                      <w:sz w:val="21"/>
                    </w:rPr>
                    <w:t>接收到故障报告后，立即确认故障现象和等级。</w:t>
                  </w:r>
                </w:p>
              </w:tc>
              <w:tc>
                <w:tcPr>
                  <w:tcW w:type="dxa" w:w="613"/>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w:t>
                  </w:r>
                  <w:r>
                    <w:rPr>
                      <w:rFonts w:ascii="仿宋_GB2312" w:hAnsi="仿宋_GB2312" w:cs="仿宋_GB2312" w:eastAsia="仿宋_GB2312"/>
                      <w:sz w:val="21"/>
                    </w:rPr>
                    <w:t>服务期间，确保</w:t>
                  </w:r>
                  <w:r>
                    <w:rPr>
                      <w:rFonts w:ascii="仿宋_GB2312" w:hAnsi="仿宋_GB2312" w:cs="仿宋_GB2312" w:eastAsia="仿宋_GB2312"/>
                      <w:sz w:val="21"/>
                    </w:rPr>
                    <w:t>10分钟内进行响应；驻场服务时段以外，自接到采购人到场要求后，1小时内抵达现场。</w:t>
                  </w:r>
                </w:p>
              </w:tc>
            </w:tr>
            <w:tr>
              <w:tc>
                <w:tcPr>
                  <w:tcW w:type="dxa" w:w="254"/>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S1级别故障处理</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w:t>
                  </w:r>
                  <w:r>
                    <w:rPr>
                      <w:rFonts w:ascii="仿宋_GB2312" w:hAnsi="仿宋_GB2312" w:cs="仿宋_GB2312" w:eastAsia="仿宋_GB2312"/>
                      <w:sz w:val="21"/>
                    </w:rPr>
                    <w:t>维保团队负责人</w:t>
                  </w:r>
                  <w:r>
                    <w:rPr>
                      <w:rFonts w:ascii="仿宋_GB2312" w:hAnsi="仿宋_GB2312" w:cs="仿宋_GB2312" w:eastAsia="仿宋_GB2312"/>
                      <w:sz w:val="21"/>
                    </w:rPr>
                    <w:t>/</w:t>
                  </w:r>
                  <w:r>
                    <w:rPr>
                      <w:rFonts w:ascii="仿宋_GB2312" w:hAnsi="仿宋_GB2312" w:cs="仿宋_GB2312" w:eastAsia="仿宋_GB2312"/>
                      <w:sz w:val="21"/>
                    </w:rPr>
                    <w:t>技术专家</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8"/>
                    <w:jc w:val="both"/>
                  </w:pPr>
                  <w:r>
                    <w:rPr>
                      <w:rFonts w:ascii="仿宋_GB2312" w:hAnsi="仿宋_GB2312" w:cs="仿宋_GB2312" w:eastAsia="仿宋_GB2312"/>
                      <w:sz w:val="21"/>
                    </w:rPr>
                    <w:t>1小时内完成故障排查，确定故障原因，并进行临时处置（如启用备用系统、调整配置等）以确保业务部分或全部恢复。</w:t>
                  </w:r>
                </w:p>
                <w:p>
                  <w:pPr>
                    <w:pStyle w:val="null3"/>
                    <w:ind w:firstLine="218"/>
                    <w:jc w:val="both"/>
                  </w:pPr>
                  <w:r>
                    <w:rPr>
                      <w:rFonts w:ascii="仿宋_GB2312" w:hAnsi="仿宋_GB2312" w:cs="仿宋_GB2312" w:eastAsia="仿宋_GB2312"/>
                      <w:sz w:val="21"/>
                    </w:rPr>
                    <w:t>立即启动故障修复工作，包括但不限于更换故障部件、修复系统漏洞等。</w:t>
                  </w:r>
                </w:p>
                <w:p>
                  <w:pPr>
                    <w:pStyle w:val="null3"/>
                    <w:ind w:firstLine="218"/>
                    <w:jc w:val="both"/>
                  </w:pPr>
                  <w:r>
                    <w:rPr>
                      <w:rFonts w:ascii="仿宋_GB2312" w:hAnsi="仿宋_GB2312" w:cs="仿宋_GB2312" w:eastAsia="仿宋_GB2312"/>
                      <w:sz w:val="21"/>
                    </w:rPr>
                    <w:t>若规定时限内不能及时修复，须使用备品备件进行替换，确保系统恢复运转。</w:t>
                  </w:r>
                </w:p>
              </w:tc>
              <w:tc>
                <w:tcPr>
                  <w:tcW w:type="dxa" w:w="6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故障排查</w:t>
                  </w:r>
                  <w:r>
                    <w:rPr>
                      <w:rFonts w:ascii="仿宋_GB2312" w:hAnsi="仿宋_GB2312" w:cs="仿宋_GB2312" w:eastAsia="仿宋_GB2312"/>
                      <w:sz w:val="21"/>
                    </w:rPr>
                    <w:t>/临时处置：1小时内；</w:t>
                  </w:r>
                </w:p>
                <w:p>
                  <w:pPr>
                    <w:pStyle w:val="null3"/>
                    <w:jc w:val="both"/>
                  </w:pPr>
                  <w:r>
                    <w:rPr>
                      <w:rFonts w:ascii="仿宋_GB2312" w:hAnsi="仿宋_GB2312" w:cs="仿宋_GB2312" w:eastAsia="仿宋_GB2312"/>
                      <w:sz w:val="21"/>
                    </w:rPr>
                    <w:t>故障修复：</w:t>
                  </w:r>
                  <w:r>
                    <w:rPr>
                      <w:rFonts w:ascii="仿宋_GB2312" w:hAnsi="仿宋_GB2312" w:cs="仿宋_GB2312" w:eastAsia="仿宋_GB2312"/>
                      <w:sz w:val="21"/>
                    </w:rPr>
                    <w:t>2小时内。</w:t>
                  </w:r>
                </w:p>
              </w:tc>
            </w:tr>
            <w:tr>
              <w:tc>
                <w:tcPr>
                  <w:tcW w:type="dxa" w:w="254"/>
                  <w:vMerge/>
                  <w:tcBorders>
                    <w:top w:val="single" w:color="000000" w:sz="4"/>
                    <w:left w:val="single" w:color="000000" w:sz="8"/>
                    <w:bottom w:val="single" w:color="000000" w:sz="4"/>
                    <w:right w:val="single" w:color="000000" w:sz="4"/>
                  </w:tcBorders>
                </w:tcP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S2级别故障处理</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w:t>
                  </w:r>
                  <w:r>
                    <w:rPr>
                      <w:rFonts w:ascii="仿宋_GB2312" w:hAnsi="仿宋_GB2312" w:cs="仿宋_GB2312" w:eastAsia="仿宋_GB2312"/>
                      <w:sz w:val="21"/>
                    </w:rPr>
                    <w:t>维保工程师</w:t>
                  </w:r>
                  <w:r>
                    <w:rPr>
                      <w:rFonts w:ascii="仿宋_GB2312" w:hAnsi="仿宋_GB2312" w:cs="仿宋_GB2312" w:eastAsia="仿宋_GB2312"/>
                      <w:sz w:val="21"/>
                    </w:rPr>
                    <w:t>/技术专家</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8"/>
                    <w:jc w:val="both"/>
                  </w:pPr>
                  <w:r>
                    <w:rPr>
                      <w:rFonts w:ascii="仿宋_GB2312" w:hAnsi="仿宋_GB2312" w:cs="仿宋_GB2312" w:eastAsia="仿宋_GB2312"/>
                      <w:sz w:val="21"/>
                    </w:rPr>
                    <w:t>2小时内完成故障排查，确定故障原因，并进行必要的临时处置以减轻故障影响。</w:t>
                  </w:r>
                </w:p>
                <w:p>
                  <w:pPr>
                    <w:pStyle w:val="null3"/>
                    <w:ind w:firstLine="218"/>
                    <w:jc w:val="both"/>
                  </w:pPr>
                  <w:r>
                    <w:rPr>
                      <w:rFonts w:ascii="仿宋_GB2312" w:hAnsi="仿宋_GB2312" w:cs="仿宋_GB2312" w:eastAsia="仿宋_GB2312"/>
                      <w:sz w:val="21"/>
                    </w:rPr>
                    <w:t>制定详细的故障修复计划，并尽快实施。</w:t>
                  </w:r>
                </w:p>
                <w:p>
                  <w:pPr>
                    <w:pStyle w:val="null3"/>
                    <w:ind w:firstLine="218"/>
                    <w:jc w:val="both"/>
                  </w:pPr>
                  <w:r>
                    <w:rPr>
                      <w:rFonts w:ascii="仿宋_GB2312" w:hAnsi="仿宋_GB2312" w:cs="仿宋_GB2312" w:eastAsia="仿宋_GB2312"/>
                      <w:sz w:val="21"/>
                    </w:rPr>
                    <w:t>若需要，使用备品备件进行替换，确保系统性能恢复。</w:t>
                  </w:r>
                </w:p>
              </w:tc>
              <w:tc>
                <w:tcPr>
                  <w:tcW w:type="dxa" w:w="6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故障排查</w:t>
                  </w:r>
                  <w:r>
                    <w:rPr>
                      <w:rFonts w:ascii="仿宋_GB2312" w:hAnsi="仿宋_GB2312" w:cs="仿宋_GB2312" w:eastAsia="仿宋_GB2312"/>
                      <w:sz w:val="21"/>
                    </w:rPr>
                    <w:t>/临时处置：2小时内。</w:t>
                  </w:r>
                </w:p>
                <w:p>
                  <w:pPr>
                    <w:pStyle w:val="null3"/>
                    <w:jc w:val="both"/>
                  </w:pPr>
                  <w:r>
                    <w:rPr>
                      <w:rFonts w:ascii="仿宋_GB2312" w:hAnsi="仿宋_GB2312" w:cs="仿宋_GB2312" w:eastAsia="仿宋_GB2312"/>
                      <w:sz w:val="21"/>
                    </w:rPr>
                    <w:t>故障修复：</w:t>
                  </w:r>
                  <w:r>
                    <w:rPr>
                      <w:rFonts w:ascii="仿宋_GB2312" w:hAnsi="仿宋_GB2312" w:cs="仿宋_GB2312" w:eastAsia="仿宋_GB2312"/>
                      <w:sz w:val="21"/>
                    </w:rPr>
                    <w:t>4小时内。</w:t>
                  </w:r>
                </w:p>
              </w:tc>
            </w:tr>
            <w:tr>
              <w:tc>
                <w:tcPr>
                  <w:tcW w:type="dxa" w:w="254"/>
                  <w:vMerge/>
                  <w:tcBorders>
                    <w:top w:val="single" w:color="000000" w:sz="4"/>
                    <w:left w:val="single" w:color="000000" w:sz="8"/>
                    <w:bottom w:val="single" w:color="000000" w:sz="4"/>
                    <w:right w:val="single" w:color="000000" w:sz="4"/>
                  </w:tcBorders>
                </w:tcP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S3级别故障处理</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w:t>
                  </w:r>
                  <w:r>
                    <w:rPr>
                      <w:rFonts w:ascii="仿宋_GB2312" w:hAnsi="仿宋_GB2312" w:cs="仿宋_GB2312" w:eastAsia="仿宋_GB2312"/>
                      <w:sz w:val="21"/>
                    </w:rPr>
                    <w:t>维保工程师</w:t>
                  </w:r>
                  <w:r>
                    <w:rPr>
                      <w:rFonts w:ascii="仿宋_GB2312" w:hAnsi="仿宋_GB2312" w:cs="仿宋_GB2312" w:eastAsia="仿宋_GB2312"/>
                      <w:sz w:val="21"/>
                    </w:rPr>
                    <w:t>/技术支持人员</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8"/>
                    <w:jc w:val="both"/>
                  </w:pPr>
                  <w:r>
                    <w:rPr>
                      <w:rFonts w:ascii="仿宋_GB2312" w:hAnsi="仿宋_GB2312" w:cs="仿宋_GB2312" w:eastAsia="仿宋_GB2312"/>
                      <w:sz w:val="21"/>
                    </w:rPr>
                    <w:t>4小时内完成故障排查，确定故障原因，并进行适当的临时处置（如重启服务、调整用户访问权限等）。</w:t>
                  </w:r>
                </w:p>
                <w:p>
                  <w:pPr>
                    <w:pStyle w:val="null3"/>
                    <w:ind w:firstLine="218"/>
                    <w:jc w:val="both"/>
                  </w:pPr>
                  <w:r>
                    <w:rPr>
                      <w:rFonts w:ascii="仿宋_GB2312" w:hAnsi="仿宋_GB2312" w:cs="仿宋_GB2312" w:eastAsia="仿宋_GB2312"/>
                      <w:sz w:val="21"/>
                    </w:rPr>
                    <w:t>根据故障情况，制定修复计划并安排实施。</w:t>
                  </w:r>
                </w:p>
                <w:p>
                  <w:pPr>
                    <w:pStyle w:val="null3"/>
                    <w:ind w:firstLine="218"/>
                    <w:jc w:val="both"/>
                  </w:pPr>
                  <w:r>
                    <w:rPr>
                      <w:rFonts w:ascii="仿宋_GB2312" w:hAnsi="仿宋_GB2312" w:cs="仿宋_GB2312" w:eastAsia="仿宋_GB2312"/>
                      <w:sz w:val="21"/>
                    </w:rPr>
                    <w:t>监控故障修复过程，确保在</w:t>
                  </w:r>
                  <w:r>
                    <w:rPr>
                      <w:rFonts w:ascii="仿宋_GB2312" w:hAnsi="仿宋_GB2312" w:cs="仿宋_GB2312" w:eastAsia="仿宋_GB2312"/>
                      <w:sz w:val="21"/>
                    </w:rPr>
                    <w:t>24小时内完成修复。</w:t>
                  </w:r>
                </w:p>
              </w:tc>
              <w:tc>
                <w:tcPr>
                  <w:tcW w:type="dxa" w:w="6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故障排查</w:t>
                  </w:r>
                  <w:r>
                    <w:rPr>
                      <w:rFonts w:ascii="仿宋_GB2312" w:hAnsi="仿宋_GB2312" w:cs="仿宋_GB2312" w:eastAsia="仿宋_GB2312"/>
                      <w:sz w:val="21"/>
                    </w:rPr>
                    <w:t>/临时处置：4小时内。</w:t>
                  </w:r>
                </w:p>
                <w:p>
                  <w:pPr>
                    <w:pStyle w:val="null3"/>
                    <w:jc w:val="both"/>
                  </w:pPr>
                  <w:r>
                    <w:rPr>
                      <w:rFonts w:ascii="仿宋_GB2312" w:hAnsi="仿宋_GB2312" w:cs="仿宋_GB2312" w:eastAsia="仿宋_GB2312"/>
                      <w:sz w:val="21"/>
                    </w:rPr>
                    <w:t>故障修复：</w:t>
                  </w:r>
                  <w:r>
                    <w:rPr>
                      <w:rFonts w:ascii="仿宋_GB2312" w:hAnsi="仿宋_GB2312" w:cs="仿宋_GB2312" w:eastAsia="仿宋_GB2312"/>
                      <w:sz w:val="21"/>
                    </w:rPr>
                    <w:t>24小时内。</w:t>
                  </w:r>
                </w:p>
              </w:tc>
            </w:tr>
            <w:tr>
              <w:tc>
                <w:tcPr>
                  <w:tcW w:type="dxa" w:w="254"/>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后续跟进与总结</w:t>
                  </w:r>
                </w:p>
              </w:tc>
              <w:tc>
                <w:tcPr>
                  <w:tcW w:type="dxa" w:w="41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w:t>
                  </w:r>
                  <w:r>
                    <w:rPr>
                      <w:rFonts w:ascii="仿宋_GB2312" w:hAnsi="仿宋_GB2312" w:cs="仿宋_GB2312" w:eastAsia="仿宋_GB2312"/>
                      <w:sz w:val="21"/>
                    </w:rPr>
                    <w:t>维保团队负责人</w:t>
                  </w:r>
                  <w:r>
                    <w:rPr>
                      <w:rFonts w:ascii="仿宋_GB2312" w:hAnsi="仿宋_GB2312" w:cs="仿宋_GB2312" w:eastAsia="仿宋_GB2312"/>
                      <w:sz w:val="21"/>
                    </w:rPr>
                    <w:t>/项目管理人员</w:t>
                  </w:r>
                </w:p>
              </w:tc>
              <w:tc>
                <w:tcPr>
                  <w:tcW w:type="dxa" w:w="100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ind w:firstLine="218"/>
                    <w:jc w:val="both"/>
                  </w:pPr>
                  <w:r>
                    <w:rPr>
                      <w:rFonts w:ascii="仿宋_GB2312" w:hAnsi="仿宋_GB2312" w:cs="仿宋_GB2312" w:eastAsia="仿宋_GB2312"/>
                      <w:sz w:val="21"/>
                    </w:rPr>
                    <w:t>故障修复后，进行功能测试和性能验证，确保系统恢复正常运行。</w:t>
                  </w:r>
                </w:p>
                <w:p>
                  <w:pPr>
                    <w:pStyle w:val="null3"/>
                    <w:ind w:firstLine="218"/>
                    <w:jc w:val="both"/>
                  </w:pPr>
                  <w:r>
                    <w:rPr>
                      <w:rFonts w:ascii="仿宋_GB2312" w:hAnsi="仿宋_GB2312" w:cs="仿宋_GB2312" w:eastAsia="仿宋_GB2312"/>
                      <w:sz w:val="21"/>
                    </w:rPr>
                    <w:t>撰写故障处理报告，包括故障原因、处理过程、修复结果和预防措施等。</w:t>
                  </w:r>
                </w:p>
                <w:p>
                  <w:pPr>
                    <w:pStyle w:val="null3"/>
                    <w:ind w:firstLine="218"/>
                    <w:jc w:val="both"/>
                  </w:pPr>
                  <w:r>
                    <w:rPr>
                      <w:rFonts w:ascii="仿宋_GB2312" w:hAnsi="仿宋_GB2312" w:cs="仿宋_GB2312" w:eastAsia="仿宋_GB2312"/>
                      <w:sz w:val="21"/>
                    </w:rPr>
                    <w:t>组织团队进行故障复盘，总结经验教训，优化应急响应流程。</w:t>
                  </w:r>
                </w:p>
              </w:tc>
              <w:tc>
                <w:tcPr>
                  <w:tcW w:type="dxa" w:w="61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3个工作日内</w:t>
                  </w:r>
                </w:p>
              </w:tc>
            </w:tr>
          </w:tbl>
          <w:p>
            <w:pPr>
              <w:pStyle w:val="null3"/>
              <w:ind w:firstLine="420"/>
              <w:jc w:val="both"/>
            </w:pPr>
            <w:r>
              <w:rPr>
                <w:rFonts w:ascii="仿宋_GB2312" w:hAnsi="仿宋_GB2312" w:cs="仿宋_GB2312" w:eastAsia="仿宋_GB2312"/>
                <w:sz w:val="21"/>
              </w:rPr>
              <w:t>4.2 故障修复标准</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驻场</w:t>
            </w:r>
            <w:r>
              <w:rPr>
                <w:rFonts w:ascii="仿宋_GB2312" w:hAnsi="仿宋_GB2312" w:cs="仿宋_GB2312" w:eastAsia="仿宋_GB2312"/>
                <w:sz w:val="21"/>
              </w:rPr>
              <w:t>服务期间硬件设备出现一般故障后，</w:t>
            </w:r>
            <w:r>
              <w:rPr>
                <w:rFonts w:ascii="仿宋_GB2312" w:hAnsi="仿宋_GB2312" w:cs="仿宋_GB2312" w:eastAsia="仿宋_GB2312"/>
                <w:sz w:val="21"/>
              </w:rPr>
              <w:t>驻场</w:t>
            </w:r>
            <w:r>
              <w:rPr>
                <w:rFonts w:ascii="仿宋_GB2312" w:hAnsi="仿宋_GB2312" w:cs="仿宋_GB2312" w:eastAsia="仿宋_GB2312"/>
                <w:sz w:val="21"/>
              </w:rPr>
              <w:t>人员</w:t>
            </w:r>
            <w:r>
              <w:rPr>
                <w:rFonts w:ascii="仿宋_GB2312" w:hAnsi="仿宋_GB2312" w:cs="仿宋_GB2312" w:eastAsia="仿宋_GB2312"/>
                <w:sz w:val="21"/>
              </w:rPr>
              <w:t>30分钟内进行响应；</w:t>
            </w:r>
            <w:r>
              <w:rPr>
                <w:rFonts w:ascii="仿宋_GB2312" w:hAnsi="仿宋_GB2312" w:cs="仿宋_GB2312" w:eastAsia="仿宋_GB2312"/>
                <w:sz w:val="21"/>
              </w:rPr>
              <w:t>驻场</w:t>
            </w:r>
            <w:r>
              <w:rPr>
                <w:rFonts w:ascii="仿宋_GB2312" w:hAnsi="仿宋_GB2312" w:cs="仿宋_GB2312" w:eastAsia="仿宋_GB2312"/>
                <w:sz w:val="21"/>
              </w:rPr>
              <w:t>服务期间之外出现一般故障时，自接到采购人到场通知后，</w:t>
            </w:r>
            <w:r>
              <w:rPr>
                <w:rFonts w:ascii="仿宋_GB2312" w:hAnsi="仿宋_GB2312" w:cs="仿宋_GB2312" w:eastAsia="仿宋_GB2312"/>
                <w:sz w:val="21"/>
              </w:rPr>
              <w:t>驻场</w:t>
            </w:r>
            <w:r>
              <w:rPr>
                <w:rFonts w:ascii="仿宋_GB2312" w:hAnsi="仿宋_GB2312" w:cs="仿宋_GB2312" w:eastAsia="仿宋_GB2312"/>
                <w:sz w:val="21"/>
              </w:rPr>
              <w:t>维保人员</w:t>
            </w:r>
            <w:r>
              <w:rPr>
                <w:rFonts w:ascii="仿宋_GB2312" w:hAnsi="仿宋_GB2312" w:cs="仿宋_GB2312" w:eastAsia="仿宋_GB2312"/>
                <w:sz w:val="21"/>
              </w:rPr>
              <w:t>2小时内抵达现场。</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w:t>
            </w:r>
            <w:r>
              <w:rPr>
                <w:rFonts w:ascii="仿宋_GB2312" w:hAnsi="仿宋_GB2312" w:cs="仿宋_GB2312" w:eastAsia="仿宋_GB2312"/>
                <w:sz w:val="21"/>
              </w:rPr>
              <w:t>2.开评标辅助设备及其系统软件出现故障时，由</w:t>
            </w:r>
            <w:r>
              <w:rPr>
                <w:rFonts w:ascii="仿宋_GB2312" w:hAnsi="仿宋_GB2312" w:cs="仿宋_GB2312" w:eastAsia="仿宋_GB2312"/>
                <w:sz w:val="21"/>
              </w:rPr>
              <w:t>驻场</w:t>
            </w:r>
            <w:r>
              <w:rPr>
                <w:rFonts w:ascii="仿宋_GB2312" w:hAnsi="仿宋_GB2312" w:cs="仿宋_GB2312" w:eastAsia="仿宋_GB2312"/>
                <w:sz w:val="21"/>
              </w:rPr>
              <w:t>人员及时进行维修，维修完成后向采购人汇报故障原因、解决方案，并提交维修报告由采购人留存。设备故障修复及时率：达到</w:t>
            </w:r>
            <w:r>
              <w:rPr>
                <w:rFonts w:ascii="仿宋_GB2312" w:hAnsi="仿宋_GB2312" w:cs="仿宋_GB2312" w:eastAsia="仿宋_GB2312"/>
                <w:sz w:val="21"/>
              </w:rPr>
              <w:t>95%以上。</w:t>
            </w:r>
          </w:p>
          <w:p>
            <w:pPr>
              <w:pStyle w:val="null3"/>
            </w:pPr>
            <w:r>
              <w:rPr>
                <w:rFonts w:ascii="仿宋_GB2312" w:hAnsi="仿宋_GB2312" w:cs="仿宋_GB2312" w:eastAsia="仿宋_GB2312"/>
                <w:sz w:val="21"/>
              </w:rPr>
              <w:t>4.2</w:t>
            </w:r>
            <w:r>
              <w:rPr>
                <w:rFonts w:ascii="仿宋_GB2312" w:hAnsi="仿宋_GB2312" w:cs="仿宋_GB2312" w:eastAsia="仿宋_GB2312"/>
                <w:sz w:val="21"/>
              </w:rPr>
              <w:t>.</w:t>
            </w:r>
            <w:r>
              <w:rPr>
                <w:rFonts w:ascii="仿宋_GB2312" w:hAnsi="仿宋_GB2312" w:cs="仿宋_GB2312" w:eastAsia="仿宋_GB2312"/>
                <w:sz w:val="21"/>
              </w:rPr>
              <w:t>3.维修时须更换的设备或材料，应提供与原设备相同的品牌型号或升级产品或更优于的原设备品牌、型号、规格的货物，并为合法来源产品。当故障设备需要返厂维修时，供应商须书面取得采购人同意。返厂维修的同时，供应商需提供同等性能规格的设备进行替代，确保系统正常运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b/>
              </w:rPr>
              <w:t>五、考核要求</w:t>
            </w:r>
          </w:p>
          <w:p>
            <w:pPr>
              <w:pStyle w:val="null3"/>
              <w:ind w:firstLine="420"/>
            </w:pPr>
            <w:r>
              <w:rPr>
                <w:rFonts w:ascii="仿宋_GB2312" w:hAnsi="仿宋_GB2312" w:cs="仿宋_GB2312" w:eastAsia="仿宋_GB2312"/>
                <w:sz w:val="21"/>
              </w:rPr>
              <w:t>5.1</w:t>
            </w:r>
            <w:r>
              <w:rPr>
                <w:rFonts w:ascii="仿宋_GB2312" w:hAnsi="仿宋_GB2312" w:cs="仿宋_GB2312" w:eastAsia="仿宋_GB2312"/>
                <w:sz w:val="21"/>
              </w:rPr>
              <w:t>季度考核：采购人每季度对供应商开展一次运维服务考核，考核内容包括日常服务及故障处理、应急保障、技术支援、系统巡检、运维报告、文档管理、服务质量、服务效果、工作规范、工作纪律等方面，考核结果根据得分情况划为良好、合格、一般三个等次。</w:t>
            </w:r>
          </w:p>
          <w:p>
            <w:pPr>
              <w:pStyle w:val="null3"/>
              <w:ind w:firstLine="420"/>
            </w:pPr>
            <w:r>
              <w:rPr>
                <w:rFonts w:ascii="仿宋_GB2312" w:hAnsi="仿宋_GB2312" w:cs="仿宋_GB2312" w:eastAsia="仿宋_GB2312"/>
                <w:sz w:val="21"/>
              </w:rPr>
              <w:t>5.2</w:t>
            </w:r>
            <w:r>
              <w:rPr>
                <w:rFonts w:ascii="仿宋_GB2312" w:hAnsi="仿宋_GB2312" w:cs="仿宋_GB2312" w:eastAsia="仿宋_GB2312"/>
                <w:sz w:val="21"/>
              </w:rPr>
              <w:t>年度考核：年度运维服务考核根据季度运维服务考核结果计算得分，即：年度考核得分</w:t>
            </w:r>
            <w:r>
              <w:rPr>
                <w:rFonts w:ascii="仿宋_GB2312" w:hAnsi="仿宋_GB2312" w:cs="仿宋_GB2312" w:eastAsia="仿宋_GB2312"/>
                <w:sz w:val="21"/>
              </w:rPr>
              <w:t>=全年季度考核得分总和÷4。</w:t>
            </w:r>
          </w:p>
          <w:p>
            <w:pPr>
              <w:pStyle w:val="null3"/>
              <w:ind w:firstLine="420"/>
            </w:pPr>
            <w:r>
              <w:rPr>
                <w:rFonts w:ascii="仿宋_GB2312" w:hAnsi="仿宋_GB2312" w:cs="仿宋_GB2312" w:eastAsia="仿宋_GB2312"/>
                <w:sz w:val="21"/>
              </w:rPr>
              <w:t>5.3</w:t>
            </w:r>
            <w:r>
              <w:rPr>
                <w:rFonts w:ascii="仿宋_GB2312" w:hAnsi="仿宋_GB2312" w:cs="仿宋_GB2312" w:eastAsia="仿宋_GB2312"/>
                <w:sz w:val="21"/>
              </w:rPr>
              <w:t>考核得分：</w:t>
            </w:r>
            <w:r>
              <w:rPr>
                <w:rFonts w:ascii="仿宋_GB2312" w:hAnsi="仿宋_GB2312" w:cs="仿宋_GB2312" w:eastAsia="仿宋_GB2312"/>
                <w:sz w:val="21"/>
              </w:rPr>
              <w:t>90分</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及以上为</w:t>
            </w:r>
            <w:r>
              <w:rPr>
                <w:rFonts w:ascii="仿宋_GB2312" w:hAnsi="仿宋_GB2312" w:cs="仿宋_GB2312" w:eastAsia="仿宋_GB2312"/>
                <w:sz w:val="21"/>
              </w:rPr>
              <w:t>“良好”、80</w:t>
            </w:r>
            <w:r>
              <w:rPr>
                <w:rFonts w:ascii="仿宋_GB2312" w:hAnsi="仿宋_GB2312" w:cs="仿宋_GB2312" w:eastAsia="仿宋_GB2312"/>
                <w:sz w:val="21"/>
              </w:rPr>
              <w:t>分</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分</w:t>
            </w:r>
            <w:r>
              <w:rPr>
                <w:rFonts w:ascii="仿宋_GB2312" w:hAnsi="仿宋_GB2312" w:cs="仿宋_GB2312" w:eastAsia="仿宋_GB2312"/>
                <w:sz w:val="21"/>
              </w:rPr>
              <w:t>（</w:t>
            </w:r>
            <w:r>
              <w:rPr>
                <w:rFonts w:ascii="仿宋_GB2312" w:hAnsi="仿宋_GB2312" w:cs="仿宋_GB2312" w:eastAsia="仿宋_GB2312"/>
                <w:sz w:val="21"/>
              </w:rPr>
              <w:t>不含</w:t>
            </w:r>
            <w:r>
              <w:rPr>
                <w:rFonts w:ascii="仿宋_GB2312" w:hAnsi="仿宋_GB2312" w:cs="仿宋_GB2312" w:eastAsia="仿宋_GB2312"/>
                <w:sz w:val="21"/>
              </w:rPr>
              <w:t>）</w:t>
            </w:r>
            <w:r>
              <w:rPr>
                <w:rFonts w:ascii="仿宋_GB2312" w:hAnsi="仿宋_GB2312" w:cs="仿宋_GB2312" w:eastAsia="仿宋_GB2312"/>
                <w:sz w:val="21"/>
              </w:rPr>
              <w:t>为</w:t>
            </w:r>
            <w:r>
              <w:rPr>
                <w:rFonts w:ascii="仿宋_GB2312" w:hAnsi="仿宋_GB2312" w:cs="仿宋_GB2312" w:eastAsia="仿宋_GB2312"/>
                <w:sz w:val="21"/>
              </w:rPr>
              <w:t>“合格”、70</w:t>
            </w:r>
            <w:r>
              <w:rPr>
                <w:rFonts w:ascii="仿宋_GB2312" w:hAnsi="仿宋_GB2312" w:cs="仿宋_GB2312" w:eastAsia="仿宋_GB2312"/>
                <w:sz w:val="21"/>
              </w:rPr>
              <w:t>分</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分</w:t>
            </w:r>
            <w:r>
              <w:rPr>
                <w:rFonts w:ascii="仿宋_GB2312" w:hAnsi="仿宋_GB2312" w:cs="仿宋_GB2312" w:eastAsia="仿宋_GB2312"/>
                <w:sz w:val="21"/>
              </w:rPr>
              <w:t>（</w:t>
            </w:r>
            <w:r>
              <w:rPr>
                <w:rFonts w:ascii="仿宋_GB2312" w:hAnsi="仿宋_GB2312" w:cs="仿宋_GB2312" w:eastAsia="仿宋_GB2312"/>
                <w:sz w:val="21"/>
              </w:rPr>
              <w:t>不含</w:t>
            </w:r>
            <w:r>
              <w:rPr>
                <w:rFonts w:ascii="仿宋_GB2312" w:hAnsi="仿宋_GB2312" w:cs="仿宋_GB2312" w:eastAsia="仿宋_GB2312"/>
                <w:sz w:val="21"/>
              </w:rPr>
              <w:t>）</w:t>
            </w:r>
            <w:r>
              <w:rPr>
                <w:rFonts w:ascii="仿宋_GB2312" w:hAnsi="仿宋_GB2312" w:cs="仿宋_GB2312" w:eastAsia="仿宋_GB2312"/>
                <w:sz w:val="21"/>
              </w:rPr>
              <w:t>为</w:t>
            </w:r>
            <w:r>
              <w:rPr>
                <w:rFonts w:ascii="仿宋_GB2312" w:hAnsi="仿宋_GB2312" w:cs="仿宋_GB2312" w:eastAsia="仿宋_GB2312"/>
                <w:sz w:val="21"/>
              </w:rPr>
              <w:t>“一般”</w:t>
            </w:r>
            <w:r>
              <w:rPr>
                <w:rFonts w:ascii="仿宋_GB2312" w:hAnsi="仿宋_GB2312" w:cs="仿宋_GB2312" w:eastAsia="仿宋_GB2312"/>
                <w:sz w:val="21"/>
              </w:rPr>
              <w:t>、</w:t>
            </w:r>
            <w:r>
              <w:rPr>
                <w:rFonts w:ascii="仿宋_GB2312" w:hAnsi="仿宋_GB2312" w:cs="仿宋_GB2312" w:eastAsia="仿宋_GB2312"/>
                <w:sz w:val="21"/>
              </w:rPr>
              <w:t>70分（不含）以下为“不合格”</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5.4</w:t>
            </w:r>
            <w:r>
              <w:rPr>
                <w:rFonts w:ascii="仿宋_GB2312" w:hAnsi="仿宋_GB2312" w:cs="仿宋_GB2312" w:eastAsia="仿宋_GB2312"/>
                <w:sz w:val="21"/>
              </w:rPr>
              <w:t>运维服务期间，采购人有权根据考核结果和实际工作需要，对运维服务考核标准及相关管理规定进行变更。</w:t>
            </w:r>
          </w:p>
          <w:p>
            <w:pPr>
              <w:pStyle w:val="null3"/>
              <w:ind w:firstLine="420"/>
            </w:pPr>
            <w:r>
              <w:rPr>
                <w:rFonts w:ascii="仿宋_GB2312" w:hAnsi="仿宋_GB2312" w:cs="仿宋_GB2312" w:eastAsia="仿宋_GB2312"/>
                <w:sz w:val="21"/>
              </w:rPr>
              <w:t>服务期满后，采购人根据全年考核打分结果组织验收。验收合格后，由供应商提出书面申请，采购人按照考核等次对应的付款比例退付履约保证金：良好等次为</w:t>
            </w:r>
            <w:r>
              <w:rPr>
                <w:rFonts w:ascii="仿宋_GB2312" w:hAnsi="仿宋_GB2312" w:cs="仿宋_GB2312" w:eastAsia="仿宋_GB2312"/>
                <w:sz w:val="21"/>
              </w:rPr>
              <w:t>100%、合格等次为90%、一般等次为80%</w:t>
            </w:r>
            <w:r>
              <w:rPr>
                <w:rFonts w:ascii="仿宋_GB2312" w:hAnsi="仿宋_GB2312" w:cs="仿宋_GB2312" w:eastAsia="仿宋_GB2312"/>
                <w:sz w:val="21"/>
              </w:rPr>
              <w:t>、</w:t>
            </w:r>
            <w:r>
              <w:rPr>
                <w:rFonts w:ascii="仿宋_GB2312" w:hAnsi="仿宋_GB2312" w:cs="仿宋_GB2312" w:eastAsia="仿宋_GB2312"/>
                <w:sz w:val="21"/>
              </w:rPr>
              <w:t>不合格等次为</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维保服务考核打分表</w:t>
            </w:r>
          </w:p>
          <w:tbl>
            <w:tblPr>
              <w:tblBorders>
                <w:top w:val="none" w:color="000000" w:sz="4"/>
                <w:left w:val="none" w:color="000000" w:sz="4"/>
                <w:bottom w:val="none" w:color="000000" w:sz="4"/>
                <w:right w:val="none" w:color="000000" w:sz="4"/>
                <w:insideH w:val="none"/>
                <w:insideV w:val="none"/>
              </w:tblBorders>
            </w:tblPr>
            <w:tblGrid>
              <w:gridCol w:w="183"/>
              <w:gridCol w:w="260"/>
              <w:gridCol w:w="288"/>
              <w:gridCol w:w="897"/>
              <w:gridCol w:w="753"/>
              <w:gridCol w:w="166"/>
            </w:tblGrid>
            <w:tr>
              <w:tc>
                <w:tcPr>
                  <w:tcW w:type="dxa" w:w="18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项别</w:t>
                  </w:r>
                </w:p>
              </w:tc>
              <w:tc>
                <w:tcPr>
                  <w:tcW w:type="dxa" w:w="28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考核内容</w:t>
                  </w:r>
                </w:p>
              </w:tc>
              <w:tc>
                <w:tcPr>
                  <w:tcW w:type="dxa" w:w="8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具体要求</w:t>
                  </w:r>
                </w:p>
              </w:tc>
              <w:tc>
                <w:tcPr>
                  <w:tcW w:type="dxa" w:w="7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扣分标准</w:t>
                  </w:r>
                </w:p>
              </w:tc>
              <w:tc>
                <w:tcPr>
                  <w:tcW w:type="dxa" w:w="1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日常服务及故障处理</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响应及时性、处理有效性、过程规范性</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驻场服务期间硬件设备出现一般故障后，驻场人员30分钟内进行响应；</w:t>
                  </w:r>
                  <w:r>
                    <w:br/>
                  </w:r>
                  <w:r>
                    <w:rPr>
                      <w:rFonts w:ascii="仿宋_GB2312" w:hAnsi="仿宋_GB2312" w:cs="仿宋_GB2312" w:eastAsia="仿宋_GB2312"/>
                      <w:sz w:val="21"/>
                      <w:color w:val="000000"/>
                    </w:rPr>
                    <w:t>2. 驻场服务期间之外出现一般故障时，自接到采购人到场通知后，驻场维保人员2小时内抵达现场。</w:t>
                  </w:r>
                  <w:r>
                    <w:br/>
                  </w:r>
                  <w:r>
                    <w:rPr>
                      <w:rFonts w:ascii="仿宋_GB2312" w:hAnsi="仿宋_GB2312" w:cs="仿宋_GB2312" w:eastAsia="仿宋_GB2312"/>
                      <w:sz w:val="21"/>
                      <w:color w:val="000000"/>
                    </w:rPr>
                    <w:t>3. 故障诊断准确，能快速制定解决方案，一次性修复率高。故障处理完毕后，向甲方提交书面《故障处理报告》。</w:t>
                  </w:r>
                  <w:r>
                    <w:br/>
                  </w:r>
                  <w:r>
                    <w:rPr>
                      <w:rFonts w:ascii="仿宋_GB2312" w:hAnsi="仿宋_GB2312" w:cs="仿宋_GB2312" w:eastAsia="仿宋_GB2312"/>
                      <w:sz w:val="21"/>
                      <w:color w:val="000000"/>
                    </w:rPr>
                    <w:t>4. 维修过程应高效，一般故障平均维修时间不超过2小时（复杂故障除外）。</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响应超时，每次扣2分。</w:t>
                  </w:r>
                  <w:r>
                    <w:br/>
                  </w:r>
                  <w:r>
                    <w:rPr>
                      <w:rFonts w:ascii="仿宋_GB2312" w:hAnsi="仿宋_GB2312" w:cs="仿宋_GB2312" w:eastAsia="仿宋_GB2312"/>
                      <w:sz w:val="21"/>
                      <w:color w:val="000000"/>
                    </w:rPr>
                    <w:t>2. 到场超时，每次扣3分。</w:t>
                  </w:r>
                  <w:r>
                    <w:br/>
                  </w:r>
                  <w:r>
                    <w:rPr>
                      <w:rFonts w:ascii="仿宋_GB2312" w:hAnsi="仿宋_GB2312" w:cs="仿宋_GB2312" w:eastAsia="仿宋_GB2312"/>
                      <w:sz w:val="21"/>
                      <w:color w:val="000000"/>
                    </w:rPr>
                    <w:t>3. 未提交故障报告或报告敷衍，每次扣1分。</w:t>
                  </w:r>
                  <w:r>
                    <w:br/>
                  </w:r>
                  <w:r>
                    <w:rPr>
                      <w:rFonts w:ascii="仿宋_GB2312" w:hAnsi="仿宋_GB2312" w:cs="仿宋_GB2312" w:eastAsia="仿宋_GB2312"/>
                      <w:sz w:val="21"/>
                      <w:color w:val="000000"/>
                    </w:rPr>
                    <w:t>4. 因技术原因导致故障处理严重超时，扣5分。</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应急保障</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重大活动、突发事件的支持保障能力</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在甲方举办重大活动或发生突发事件时，能按需提供现场技术保障。</w:t>
                  </w:r>
                  <w:r>
                    <w:br/>
                  </w:r>
                  <w:r>
                    <w:rPr>
                      <w:rFonts w:ascii="仿宋_GB2312" w:hAnsi="仿宋_GB2312" w:cs="仿宋_GB2312" w:eastAsia="仿宋_GB2312"/>
                      <w:sz w:val="21"/>
                      <w:color w:val="000000"/>
                    </w:rPr>
                    <w:t>2. 保障期间，关键系统零故障，问题快速闭环。</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无正当理由拒绝提供应急保障，扣5分。</w:t>
                  </w:r>
                  <w:r>
                    <w:br/>
                  </w:r>
                  <w:r>
                    <w:rPr>
                      <w:rFonts w:ascii="仿宋_GB2312" w:hAnsi="仿宋_GB2312" w:cs="仿宋_GB2312" w:eastAsia="仿宋_GB2312"/>
                      <w:sz w:val="21"/>
                      <w:color w:val="000000"/>
                    </w:rPr>
                    <w:t>2. 保障期间出现严重问题且处置不力，扣2-5分。</w:t>
                  </w:r>
                  <w:r>
                    <w:br/>
                  </w:r>
                  <w:r>
                    <w:rPr>
                      <w:rFonts w:ascii="仿宋_GB2312" w:hAnsi="仿宋_GB2312" w:cs="仿宋_GB2312" w:eastAsia="仿宋_GB2312"/>
                      <w:sz w:val="21"/>
                      <w:color w:val="000000"/>
                    </w:rPr>
                    <w:t>3. 保障人员不到位、联络不畅，扣3分。</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技术支援</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技术咨询、培训及优化建议</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免费提供日常技术咨询，解答准确、及时。</w:t>
                  </w:r>
                  <w:r>
                    <w:br/>
                  </w:r>
                  <w:r>
                    <w:rPr>
                      <w:rFonts w:ascii="仿宋_GB2312" w:hAnsi="仿宋_GB2312" w:cs="仿宋_GB2312" w:eastAsia="仿宋_GB2312"/>
                      <w:sz w:val="21"/>
                      <w:color w:val="000000"/>
                    </w:rPr>
                    <w:t>2. 能主动提出系统优化、升级改造等合理化建议。</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技术咨询响应迟缓或解答错误，每次扣1分。</w:t>
                  </w:r>
                  <w:r>
                    <w:br/>
                  </w:r>
                  <w:r>
                    <w:rPr>
                      <w:rFonts w:ascii="仿宋_GB2312" w:hAnsi="仿宋_GB2312" w:cs="仿宋_GB2312" w:eastAsia="仿宋_GB2312"/>
                      <w:sz w:val="21"/>
                      <w:color w:val="000000"/>
                    </w:rPr>
                    <w:t>2. 全年无任何建设性优化建议，扣3分。</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系统巡检</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定期巡检的计划性与执行质量</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制定并执行巡检计划，报甲方备案。</w:t>
                  </w:r>
                  <w:r>
                    <w:br/>
                  </w:r>
                  <w:r>
                    <w:rPr>
                      <w:rFonts w:ascii="仿宋_GB2312" w:hAnsi="仿宋_GB2312" w:cs="仿宋_GB2312" w:eastAsia="仿宋_GB2312"/>
                      <w:sz w:val="21"/>
                      <w:color w:val="000000"/>
                    </w:rPr>
                    <w:t>2. 巡检内容全面，涵盖前端摄像机、线路、后端设备、存储、软件平台等。</w:t>
                  </w:r>
                  <w:r>
                    <w:br/>
                  </w:r>
                  <w:r>
                    <w:rPr>
                      <w:rFonts w:ascii="仿宋_GB2312" w:hAnsi="仿宋_GB2312" w:cs="仿宋_GB2312" w:eastAsia="仿宋_GB2312"/>
                      <w:sz w:val="21"/>
                      <w:color w:val="000000"/>
                    </w:rPr>
                    <w:t>3. 巡检过程认真，能发现潜在隐患并记录。</w:t>
                  </w:r>
                  <w:r>
                    <w:br/>
                  </w:r>
                  <w:r>
                    <w:rPr>
                      <w:rFonts w:ascii="仿宋_GB2312" w:hAnsi="仿宋_GB2312" w:cs="仿宋_GB2312" w:eastAsia="仿宋_GB2312"/>
                      <w:sz w:val="21"/>
                      <w:color w:val="000000"/>
                    </w:rPr>
                    <w:t>4. 巡检后提供详细的《系统巡检报告》。</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未按计划执行巡检，每次扣5分。</w:t>
                  </w:r>
                  <w:r>
                    <w:br/>
                  </w:r>
                  <w:r>
                    <w:rPr>
                      <w:rFonts w:ascii="仿宋_GB2312" w:hAnsi="仿宋_GB2312" w:cs="仿宋_GB2312" w:eastAsia="仿宋_GB2312"/>
                      <w:sz w:val="21"/>
                      <w:color w:val="000000"/>
                    </w:rPr>
                    <w:t>2. 巡检漏项或走过场，每次扣3分。</w:t>
                  </w:r>
                  <w:r>
                    <w:br/>
                  </w:r>
                  <w:r>
                    <w:rPr>
                      <w:rFonts w:ascii="仿宋_GB2312" w:hAnsi="仿宋_GB2312" w:cs="仿宋_GB2312" w:eastAsia="仿宋_GB2312"/>
                      <w:sz w:val="21"/>
                      <w:color w:val="000000"/>
                    </w:rPr>
                    <w:t>3. 巡检后短期内（如1月内）发生已巡检设备的可预见性故障，扣5分。</w:t>
                  </w:r>
                  <w:r>
                    <w:br/>
                  </w:r>
                  <w:r>
                    <w:rPr>
                      <w:rFonts w:ascii="仿宋_GB2312" w:hAnsi="仿宋_GB2312" w:cs="仿宋_GB2312" w:eastAsia="仿宋_GB2312"/>
                      <w:sz w:val="21"/>
                      <w:color w:val="000000"/>
                    </w:rPr>
                    <w:t>4. 未提交或延迟提交巡检报告，每次扣2分。</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运维报告</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报告提交的及时性、准确性与全面性</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按期提交运维工作总结报告。</w:t>
                  </w:r>
                  <w:r>
                    <w:br/>
                  </w:r>
                  <w:r>
                    <w:rPr>
                      <w:rFonts w:ascii="仿宋_GB2312" w:hAnsi="仿宋_GB2312" w:cs="仿宋_GB2312" w:eastAsia="仿宋_GB2312"/>
                      <w:sz w:val="21"/>
                      <w:color w:val="000000"/>
                    </w:rPr>
                    <w:t>2. 报告数据详实，内容应包括：故障统计、处理分析、巡检记录、性能分析、工作小结及下阶段计划等。</w:t>
                  </w:r>
                  <w:r>
                    <w:br/>
                  </w:r>
                  <w:r>
                    <w:rPr>
                      <w:rFonts w:ascii="仿宋_GB2312" w:hAnsi="仿宋_GB2312" w:cs="仿宋_GB2312" w:eastAsia="仿宋_GB2312"/>
                      <w:sz w:val="21"/>
                      <w:color w:val="000000"/>
                    </w:rPr>
                    <w:t>3. 报告格式规范，图文并茂，便于甲方审阅。</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报告延迟提交，每次扣2分。</w:t>
                  </w:r>
                  <w:r>
                    <w:br/>
                  </w:r>
                  <w:r>
                    <w:rPr>
                      <w:rFonts w:ascii="仿宋_GB2312" w:hAnsi="仿宋_GB2312" w:cs="仿宋_GB2312" w:eastAsia="仿宋_GB2312"/>
                      <w:sz w:val="21"/>
                      <w:color w:val="000000"/>
                    </w:rPr>
                    <w:t>2. 报告内容空洞、数据错误或缺失关键内容，每次扣3分。</w:t>
                  </w:r>
                  <w:r>
                    <w:br/>
                  </w:r>
                  <w:r>
                    <w:rPr>
                      <w:rFonts w:ascii="仿宋_GB2312" w:hAnsi="仿宋_GB2312" w:cs="仿宋_GB2312" w:eastAsia="仿宋_GB2312"/>
                      <w:sz w:val="21"/>
                      <w:color w:val="000000"/>
                    </w:rPr>
                    <w:t>3. 无下阶段工作计划或计划不清晰，扣2分。</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文档管理</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技术档案与记录的完整性</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建立并动态更新完善的运维技术档案，包括：</w:t>
                  </w:r>
                  <w:r>
                    <w:br/>
                  </w:r>
                  <w:r>
                    <w:rPr>
                      <w:rFonts w:ascii="仿宋_GB2312" w:hAnsi="仿宋_GB2312" w:cs="仿宋_GB2312" w:eastAsia="仿宋_GB2312"/>
                      <w:sz w:val="21"/>
                      <w:color w:val="000000"/>
                    </w:rPr>
                    <w:t>- 系统拓扑图、设备清单</w:t>
                  </w:r>
                  <w:r>
                    <w:br/>
                  </w:r>
                  <w:r>
                    <w:rPr>
                      <w:rFonts w:ascii="仿宋_GB2312" w:hAnsi="仿宋_GB2312" w:cs="仿宋_GB2312" w:eastAsia="仿宋_GB2312"/>
                      <w:sz w:val="21"/>
                      <w:color w:val="000000"/>
                    </w:rPr>
                    <w:t>- 设备配置参数</w:t>
                  </w:r>
                  <w:r>
                    <w:br/>
                  </w:r>
                  <w:r>
                    <w:rPr>
                      <w:rFonts w:ascii="仿宋_GB2312" w:hAnsi="仿宋_GB2312" w:cs="仿宋_GB2312" w:eastAsia="仿宋_GB2312"/>
                      <w:sz w:val="21"/>
                      <w:color w:val="000000"/>
                    </w:rPr>
                    <w:t>- 维修、巡检、变更记录</w:t>
                  </w:r>
                  <w:r>
                    <w:br/>
                  </w:r>
                  <w:r>
                    <w:rPr>
                      <w:rFonts w:ascii="仿宋_GB2312" w:hAnsi="仿宋_GB2312" w:cs="仿宋_GB2312" w:eastAsia="仿宋_GB2312"/>
                      <w:sz w:val="21"/>
                      <w:color w:val="000000"/>
                    </w:rPr>
                    <w:t>- 培训资料等</w:t>
                  </w:r>
                  <w:r>
                    <w:br/>
                  </w:r>
                  <w:r>
                    <w:rPr>
                      <w:rFonts w:ascii="仿宋_GB2312" w:hAnsi="仿宋_GB2312" w:cs="仿宋_GB2312" w:eastAsia="仿宋_GB2312"/>
                      <w:sz w:val="21"/>
                      <w:color w:val="000000"/>
                    </w:rPr>
                    <w:t>2. 所有文档电子版和纸质版管理有序，便于查阅。</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技术档案缺失、陈旧或与现状严重不符，扣5分。</w:t>
                  </w:r>
                  <w:r>
                    <w:br/>
                  </w:r>
                  <w:r>
                    <w:rPr>
                      <w:rFonts w:ascii="仿宋_GB2312" w:hAnsi="仿宋_GB2312" w:cs="仿宋_GB2312" w:eastAsia="仿宋_GB2312"/>
                      <w:sz w:val="21"/>
                      <w:color w:val="000000"/>
                    </w:rPr>
                    <w:t>2. 维修、巡检记录不完整，每次扣1分。</w:t>
                  </w:r>
                  <w:r>
                    <w:br/>
                  </w:r>
                  <w:r>
                    <w:rPr>
                      <w:rFonts w:ascii="仿宋_GB2312" w:hAnsi="仿宋_GB2312" w:cs="仿宋_GB2312" w:eastAsia="仿宋_GB2312"/>
                      <w:sz w:val="21"/>
                      <w:color w:val="000000"/>
                    </w:rPr>
                    <w:t>3. 文档管理混乱，查阅困难，扣3分。</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服务质量</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服务过程的专业性与客户满意度</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工程师技能娴熟，能独立解决绝大多数技术问题。</w:t>
                  </w:r>
                  <w:r>
                    <w:br/>
                  </w:r>
                  <w:r>
                    <w:rPr>
                      <w:rFonts w:ascii="仿宋_GB2312" w:hAnsi="仿宋_GB2312" w:cs="仿宋_GB2312" w:eastAsia="仿宋_GB2312"/>
                      <w:sz w:val="21"/>
                      <w:color w:val="000000"/>
                    </w:rPr>
                    <w:t>2. 服务态度友好，沟通顺畅，能耐心解释问题。</w:t>
                  </w:r>
                  <w:r>
                    <w:br/>
                  </w:r>
                  <w:r>
                    <w:rPr>
                      <w:rFonts w:ascii="仿宋_GB2312" w:hAnsi="仿宋_GB2312" w:cs="仿宋_GB2312" w:eastAsia="仿宋_GB2312"/>
                      <w:sz w:val="21"/>
                      <w:color w:val="000000"/>
                    </w:rPr>
                    <w:t>3. 不影响甲方正常办公秩序，工作现场保持整洁。</w:t>
                  </w:r>
                  <w:r>
                    <w:br/>
                  </w:r>
                  <w:r>
                    <w:rPr>
                      <w:rFonts w:ascii="仿宋_GB2312" w:hAnsi="仿宋_GB2312" w:cs="仿宋_GB2312" w:eastAsia="仿宋_GB2312"/>
                      <w:sz w:val="21"/>
                      <w:color w:val="000000"/>
                    </w:rPr>
                    <w:t>4. 定期进行客户满意度调查，满意度高。</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因技能不足导致问题升级或需外援，每次扣3分。</w:t>
                  </w:r>
                  <w:r>
                    <w:br/>
                  </w:r>
                  <w:r>
                    <w:rPr>
                      <w:rFonts w:ascii="仿宋_GB2312" w:hAnsi="仿宋_GB2312" w:cs="仿宋_GB2312" w:eastAsia="仿宋_GB2312"/>
                      <w:sz w:val="21"/>
                      <w:color w:val="000000"/>
                    </w:rPr>
                    <w:t>2. 服务态度差，被甲方有效投诉，每次扣5分。</w:t>
                  </w:r>
                  <w:r>
                    <w:br/>
                  </w:r>
                  <w:r>
                    <w:rPr>
                      <w:rFonts w:ascii="仿宋_GB2312" w:hAnsi="仿宋_GB2312" w:cs="仿宋_GB2312" w:eastAsia="仿宋_GB2312"/>
                      <w:sz w:val="21"/>
                      <w:color w:val="000000"/>
                    </w:rPr>
                    <w:t>3. 工作现场杂乱，遗留杂物，每次扣1分。</w:t>
                  </w:r>
                  <w:r>
                    <w:br/>
                  </w:r>
                  <w:r>
                    <w:rPr>
                      <w:rFonts w:ascii="仿宋_GB2312" w:hAnsi="仿宋_GB2312" w:cs="仿宋_GB2312" w:eastAsia="仿宋_GB2312"/>
                      <w:sz w:val="21"/>
                      <w:color w:val="000000"/>
                    </w:rPr>
                    <w:t>4. 满意度调查中提出主要问题未改进，扣3分。</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服务效果</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系统运行的稳定性与可用性</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通过维保服务，系统整体可用性达到95%以上。</w:t>
                  </w:r>
                  <w:r>
                    <w:br/>
                  </w:r>
                  <w:r>
                    <w:rPr>
                      <w:rFonts w:ascii="仿宋_GB2312" w:hAnsi="仿宋_GB2312" w:cs="仿宋_GB2312" w:eastAsia="仿宋_GB2312"/>
                      <w:sz w:val="21"/>
                      <w:color w:val="000000"/>
                    </w:rPr>
                    <w:t>2. 同类故障发生率显著降低。</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系统可用性未达约定指标，扣5-10分。</w:t>
                  </w:r>
                  <w:r>
                    <w:br/>
                  </w:r>
                  <w:r>
                    <w:rPr>
                      <w:rFonts w:ascii="仿宋_GB2312" w:hAnsi="仿宋_GB2312" w:cs="仿宋_GB2312" w:eastAsia="仿宋_GB2312"/>
                      <w:sz w:val="21"/>
                      <w:color w:val="000000"/>
                    </w:rPr>
                    <w:t>2. 同一设备同一故障，维修后3个月内故障重复出现。扣3分。</w:t>
                  </w:r>
                  <w:r>
                    <w:br/>
                  </w:r>
                  <w:r>
                    <w:rPr>
                      <w:rFonts w:ascii="仿宋_GB2312" w:hAnsi="仿宋_GB2312" w:cs="仿宋_GB2312" w:eastAsia="仿宋_GB2312"/>
                      <w:sz w:val="21"/>
                      <w:color w:val="000000"/>
                    </w:rPr>
                    <w:t>3. 因维保不到位导致关键录像缺失，扣5分。</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工作规范</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流程标准化与安全管理</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严格遵守甲方单位的入场、施工、安全等管理规定。</w:t>
                  </w:r>
                  <w:r>
                    <w:br/>
                  </w:r>
                  <w:r>
                    <w:rPr>
                      <w:rFonts w:ascii="仿宋_GB2312" w:hAnsi="仿宋_GB2312" w:cs="仿宋_GB2312" w:eastAsia="仿宋_GB2312"/>
                      <w:sz w:val="21"/>
                      <w:color w:val="000000"/>
                    </w:rPr>
                    <w:t>2. 操作流程规范，如进行断电、重启等操作前需获得甲方同意。</w:t>
                  </w:r>
                  <w:r>
                    <w:br/>
                  </w:r>
                  <w:r>
                    <w:rPr>
                      <w:rFonts w:ascii="仿宋_GB2312" w:hAnsi="仿宋_GB2312" w:cs="仿宋_GB2312" w:eastAsia="仿宋_GB2312"/>
                      <w:sz w:val="21"/>
                      <w:color w:val="000000"/>
                    </w:rPr>
                    <w:t>3. 做好数据备份和安全措施，严禁违规操作引入安全风险。</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违反甲方入场/安全管理规定，每次扣3分。</w:t>
                  </w:r>
                  <w:r>
                    <w:br/>
                  </w:r>
                  <w:r>
                    <w:rPr>
                      <w:rFonts w:ascii="仿宋_GB2312" w:hAnsi="仿宋_GB2312" w:cs="仿宋_GB2312" w:eastAsia="仿宋_GB2312"/>
                      <w:sz w:val="21"/>
                      <w:color w:val="000000"/>
                    </w:rPr>
                    <w:t>2. 未获授权进行重要操作，每次扣5分。</w:t>
                  </w:r>
                  <w:r>
                    <w:br/>
                  </w:r>
                  <w:r>
                    <w:rPr>
                      <w:rFonts w:ascii="仿宋_GB2312" w:hAnsi="仿宋_GB2312" w:cs="仿宋_GB2312" w:eastAsia="仿宋_GB2312"/>
                      <w:sz w:val="21"/>
                      <w:color w:val="000000"/>
                    </w:rPr>
                    <w:t>3. 因操作不当导致系统宕机或数据丢失，扣10分。</w:t>
                  </w:r>
                  <w:r>
                    <w:br/>
                  </w:r>
                  <w:r>
                    <w:rPr>
                      <w:rFonts w:ascii="仿宋_GB2312" w:hAnsi="仿宋_GB2312" w:cs="仿宋_GB2312" w:eastAsia="仿宋_GB2312"/>
                      <w:sz w:val="21"/>
                      <w:color w:val="000000"/>
                    </w:rPr>
                    <w:t>4. 引入病毒或安全漏洞，扣5分。</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6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工作纪律</w:t>
                  </w:r>
                </w:p>
              </w:tc>
              <w:tc>
                <w:tcPr>
                  <w:tcW w:type="dxa" w:w="28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人员管理与职业操守</w:t>
                  </w:r>
                </w:p>
              </w:tc>
              <w:tc>
                <w:tcPr>
                  <w:tcW w:type="dxa" w:w="89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派驻人员相对稳定，变更时需提前通知并做好交接。</w:t>
                  </w:r>
                  <w:r>
                    <w:br/>
                  </w:r>
                  <w:r>
                    <w:rPr>
                      <w:rFonts w:ascii="仿宋_GB2312" w:hAnsi="仿宋_GB2312" w:cs="仿宋_GB2312" w:eastAsia="仿宋_GB2312"/>
                      <w:sz w:val="21"/>
                      <w:color w:val="000000"/>
                    </w:rPr>
                    <w:t>2. 人员着装整洁，佩戴工作牌，行为举止得体。</w:t>
                  </w:r>
                  <w:r>
                    <w:br/>
                  </w:r>
                  <w:r>
                    <w:rPr>
                      <w:rFonts w:ascii="仿宋_GB2312" w:hAnsi="仿宋_GB2312" w:cs="仿宋_GB2312" w:eastAsia="仿宋_GB2312"/>
                      <w:sz w:val="21"/>
                      <w:color w:val="000000"/>
                    </w:rPr>
                    <w:t>3. 遵守保密协议，不泄露甲方任何信息。</w:t>
                  </w:r>
                  <w:r>
                    <w:br/>
                  </w:r>
                  <w:r>
                    <w:rPr>
                      <w:rFonts w:ascii="仿宋_GB2312" w:hAnsi="仿宋_GB2312" w:cs="仿宋_GB2312" w:eastAsia="仿宋_GB2312"/>
                      <w:sz w:val="21"/>
                      <w:color w:val="000000"/>
                    </w:rPr>
                    <w:t>4. 无不正当商业行为。</w:t>
                  </w:r>
                </w:p>
              </w:tc>
              <w:tc>
                <w:tcPr>
                  <w:tcW w:type="dxa" w:w="75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人员频繁变更或交接不力影响工作，扣3分。</w:t>
                  </w:r>
                  <w:r>
                    <w:br/>
                  </w:r>
                  <w:r>
                    <w:rPr>
                      <w:rFonts w:ascii="仿宋_GB2312" w:hAnsi="仿宋_GB2312" w:cs="仿宋_GB2312" w:eastAsia="仿宋_GB2312"/>
                      <w:sz w:val="21"/>
                      <w:color w:val="000000"/>
                    </w:rPr>
                    <w:t>2. 着装、行为不规范，每次扣1分。</w:t>
                  </w:r>
                  <w:r>
                    <w:br/>
                  </w:r>
                  <w:r>
                    <w:rPr>
                      <w:rFonts w:ascii="仿宋_GB2312" w:hAnsi="仿宋_GB2312" w:cs="仿宋_GB2312" w:eastAsia="仿宋_GB2312"/>
                      <w:sz w:val="21"/>
                      <w:color w:val="000000"/>
                    </w:rPr>
                    <w:t>3. 发生泄密或严重违纪行为，本项目计0分，并追究责任。</w:t>
                  </w:r>
                </w:p>
              </w:tc>
              <w:tc>
                <w:tcPr>
                  <w:tcW w:type="dxa" w:w="1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183"/>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288"/>
                  <w:vMerge/>
                  <w:tcBorders>
                    <w:top w:val="none" w:color="000000" w:sz="4"/>
                    <w:left w:val="single" w:color="000000" w:sz="4"/>
                    <w:bottom w:val="single" w:color="000000" w:sz="4"/>
                    <w:right w:val="single" w:color="000000" w:sz="4"/>
                  </w:tcBorders>
                </w:tcPr>
                <w:p/>
              </w:tc>
              <w:tc>
                <w:tcPr>
                  <w:tcW w:type="dxa" w:w="897"/>
                  <w:vMerge/>
                  <w:tcBorders>
                    <w:top w:val="none" w:color="000000" w:sz="4"/>
                    <w:left w:val="single" w:color="000000" w:sz="4"/>
                    <w:bottom w:val="single" w:color="000000" w:sz="4"/>
                    <w:right w:val="single" w:color="000000" w:sz="4"/>
                  </w:tcBorders>
                </w:tcPr>
                <w:p/>
              </w:tc>
              <w:tc>
                <w:tcPr>
                  <w:tcW w:type="dxa" w:w="753"/>
                  <w:vMerge/>
                  <w:tcBorders>
                    <w:top w:val="none" w:color="000000" w:sz="4"/>
                    <w:left w:val="single" w:color="000000" w:sz="4"/>
                    <w:bottom w:val="single" w:color="000000" w:sz="4"/>
                    <w:right w:val="single" w:color="000000" w:sz="4"/>
                  </w:tcBorders>
                </w:tcPr>
                <w:p/>
              </w:tc>
              <w:tc>
                <w:tcPr>
                  <w:tcW w:type="dxa" w:w="166"/>
                  <w:vMerge/>
                  <w:tcBorders>
                    <w:top w:val="none" w:color="000000" w:sz="4"/>
                    <w:left w:val="single" w:color="000000" w:sz="4"/>
                    <w:bottom w:val="single" w:color="000000" w:sz="4"/>
                    <w:right w:val="single" w:color="000000" w:sz="4"/>
                  </w:tcBorders>
                </w:tcPr>
                <w:p/>
              </w:tc>
            </w:tr>
            <w:tr>
              <w:tc>
                <w:tcPr>
                  <w:tcW w:type="dxa" w:w="2381"/>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合计得分</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暂定一年。因本合同所涉信息化设备发生重大变更（包括但不限于单位搬迁、设备停机、设备报废等），采购人有权根据实际情况需要，依据设备数量增减情况签订补充合同或提前终止合同。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国家标准、行业标准、企业标准。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若合同提前终止，双方应按照实际服务时长进行结算，服务费计算公式为：（合同总金额/12个月）×实际服务月数。除上述费用外，采购方无需就合同提前终止向服务方支付任何其他补偿、赔偿或违约金。本合同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服务期满半年，且财政预算批复后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服务期届满，且乙方完成全部服务内容，经最终验收合格后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巡检费、维修费、技术支持费、备品备件费、税金、采购代理服务费等其他一切相关费用。任何有选择的报价将不予接受，否则按无效磋商处理。 （2）项目属性：服务。 （3）本项目所属行业为：软件和信息技术服务业。从业人员 300 人以下或营业收入10000万元以下的为中小微型企业。其中，从业人员 100人及以上，且营业收入 1000万元及以上的为中型企业;从业人员10人及以上，且营业收入50万元及以上的为小型企业;从业人员 10人以下或营业收入50万元以下的为微型企业。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 （6）若为授权代表参加投标，投标文件中需提供被授权代表开标前三个月内任意一个月在本单位的社保缴纳证明。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1、在中华人民共和国境内注册，并具有有效存续的营业执照/事业单位法人证书/非企业专业服务机构执业许可证/民办非企业单位登记证书，或自然人的身份证明； 2、提供基本资格条件承诺函；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中小企业声明函 残疾人福利性单位声明函 业绩 标的清单 供应商应提交的相关资格证明材料 陕西省政府采购供应商拒绝政府采购领域商业贿赂承诺书 其他说明 响应函 商务条款偏离表 监狱企业的证明文件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中小企业声明函 残疾人福利性单位声明函 业绩 标的清单 供应商应提交的相关资格证明材料 陕西省政府采购供应商拒绝政府采购领域商业贿赂承诺书 其他说明 响应函 商务条款偏离表 监狱企业的证明文件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只能有一个有效报价，不得提交选择性报价，且报价不超过采购预算金额或单价最高限价（如有）</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业绩 标的清单 供应商应提交的相关资格证明材料 陕西省政府采购供应商拒绝政府采购领域商业贿赂承诺书 其他说明 响应函 商务条款偏离表 监狱企业的证明文件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巡检服务方案</w:t>
            </w:r>
          </w:p>
        </w:tc>
        <w:tc>
          <w:tcPr>
            <w:tcW w:type="dxa" w:w="2492"/>
          </w:tcPr>
          <w:p>
            <w:pPr>
              <w:pStyle w:val="null3"/>
            </w:pPr>
            <w:r>
              <w:rPr>
                <w:rFonts w:ascii="仿宋_GB2312" w:hAnsi="仿宋_GB2312" w:cs="仿宋_GB2312" w:eastAsia="仿宋_GB2312"/>
              </w:rPr>
              <w:t>根据本项目服务内容2.1设备巡检，提供巡检服务方案： 巡检服务方案细致、可行性强，得[7-10]分； 巡检服务方案基本可行，得[4-7)分； 巡检服务方案不合理、没有可行性，得[1-4)分；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故障维修方案</w:t>
            </w:r>
          </w:p>
        </w:tc>
        <w:tc>
          <w:tcPr>
            <w:tcW w:type="dxa" w:w="2492"/>
          </w:tcPr>
          <w:p>
            <w:pPr>
              <w:pStyle w:val="null3"/>
            </w:pPr>
            <w:r>
              <w:rPr>
                <w:rFonts w:ascii="仿宋_GB2312" w:hAnsi="仿宋_GB2312" w:cs="仿宋_GB2312" w:eastAsia="仿宋_GB2312"/>
              </w:rPr>
              <w:t>根据本项目服务内容2.2故障维修，提供故障维修方案： 故障维修方案科学、全面、可行性强，得[11-15]分； 故障维修方案较全面、基本可行，得[6-11)分； 故障维修方案不合理、没有可行性，得[1-6)分；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拟派项目人员</w:t>
            </w:r>
          </w:p>
        </w:tc>
        <w:tc>
          <w:tcPr>
            <w:tcW w:type="dxa" w:w="2492"/>
          </w:tcPr>
          <w:p>
            <w:pPr>
              <w:pStyle w:val="null3"/>
            </w:pPr>
            <w:r>
              <w:rPr>
                <w:rFonts w:ascii="仿宋_GB2312" w:hAnsi="仿宋_GB2312" w:cs="仿宋_GB2312" w:eastAsia="仿宋_GB2312"/>
              </w:rPr>
              <w:t>根据本项目服务要求3.1 人员要求，提供拟派项目人员： 提供3名驻场维保人员，得12分；增加1名符合要求的驻场人员，得3分。 注：1、驻场人员应具备计算机、电子工程等相关专业中级及以上证书和2年以上设备维保经验。 2、提供上述人员身份证扫描件、社保证明材料（社保须为投标供应商缴纳，第三方人事代理机构代为缴纳无效）、有效的资质证书扫描件、维保经验承诺书（格式自拟）。 3、未提供或提供资料不全不得分。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根据本项目服务要求3.2管理要求，提供管理方案： 管理方案完整、方案合理、可行性强，得[7-10]分； 管理方案较完整、方案合理、基本可行，得[4-7)分； 管理方案不完整、没有可行性，得[1-4)分；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备品配件方案</w:t>
            </w:r>
          </w:p>
        </w:tc>
        <w:tc>
          <w:tcPr>
            <w:tcW w:type="dxa" w:w="2492"/>
          </w:tcPr>
          <w:p>
            <w:pPr>
              <w:pStyle w:val="null3"/>
            </w:pPr>
            <w:r>
              <w:rPr>
                <w:rFonts w:ascii="仿宋_GB2312" w:hAnsi="仿宋_GB2312" w:cs="仿宋_GB2312" w:eastAsia="仿宋_GB2312"/>
              </w:rPr>
              <w:t>根据本项目服务要求，提供备品配件方案： 备品配件供应充足，来源渠道正规，得[7-10]分； 备品配件供应基本能满足需求，得[4-7)分； 备品配件供应调配能力较差，得[1-4)分；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根据本项目服务要求，提供应急保障方案： 应急预案合理、可行性强，得[7-10]分； 应急预案较为合理、基本可行，得[4-7)分； 应急预案与现状不符，得[1-4)分；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根据本项目服务内容2.6 其他配合保障，提供培训方案： 培训方案详细完整、针对性强，完全符合采购人特点及要求得[7-10]分； 方案基本完整、针对性较强，基本符合采购人特点及要求得[4-7)分； 方案内容不完整、针对性一般得[1-4)分；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供应商针对本项目提出具体的服务承诺，包括但不限于服务管理流程、重要时期保障服务等； 承诺详细完整、科学合理可行，针对性强，完全符合项目特点及要求得[4-5]分； 服务基本完整，针对性较强，基本符合项目特点及要求得[3-4)分； 服务内容不完整、针对性一般得[1-3)分；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