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35FD0">
      <w:pPr>
        <w:pStyle w:val="8"/>
        <w:keepNext w:val="0"/>
        <w:keepLines w:val="0"/>
        <w:pageBreakBefore w:val="0"/>
        <w:widowControl w:val="0"/>
        <w:shd w:val="clear" w:color="auto" w:fill="auto"/>
        <w:kinsoku/>
        <w:wordWrap/>
        <w:overflowPunct/>
        <w:topLinePunct w:val="0"/>
        <w:autoSpaceDE/>
        <w:autoSpaceDN/>
        <w:bidi w:val="0"/>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拟签订采购合同文本</w:t>
      </w:r>
    </w:p>
    <w:p w14:paraId="253FB54C">
      <w:pPr>
        <w:keepNext w:val="0"/>
        <w:keepLines w:val="0"/>
        <w:pageBreakBefore w:val="0"/>
        <w:widowControl w:val="0"/>
        <w:shd w:val="clear" w:color="auto" w:fill="auto"/>
        <w:kinsoku/>
        <w:wordWrap/>
        <w:overflowPunct/>
        <w:topLinePunct w:val="0"/>
        <w:bidi w:val="0"/>
        <w:rPr>
          <w:rFonts w:hint="eastAsia" w:ascii="宋体" w:hAnsi="宋体" w:eastAsia="宋体" w:cs="宋体"/>
          <w:b/>
          <w:bCs/>
          <w:color w:val="auto"/>
          <w:sz w:val="48"/>
          <w:szCs w:val="48"/>
          <w:highlight w:val="none"/>
          <w:lang w:eastAsia="zh-CN"/>
        </w:rPr>
      </w:pPr>
    </w:p>
    <w:p w14:paraId="090E65BB">
      <w:pPr>
        <w:keepNext w:val="0"/>
        <w:keepLines w:val="0"/>
        <w:pageBreakBefore w:val="0"/>
        <w:widowControl w:val="0"/>
        <w:shd w:val="clear" w:color="auto" w:fill="auto"/>
        <w:kinsoku/>
        <w:wordWrap/>
        <w:overflowPunct/>
        <w:topLinePunct w:val="0"/>
        <w:bidi w:val="0"/>
        <w:spacing w:line="360" w:lineRule="auto"/>
        <w:jc w:val="center"/>
        <w:rPr>
          <w:rFonts w:hint="eastAsia" w:ascii="宋体" w:hAnsi="宋体" w:eastAsia="宋体" w:cs="宋体"/>
          <w:b/>
          <w:bCs/>
          <w:color w:val="auto"/>
          <w:sz w:val="52"/>
          <w:szCs w:val="52"/>
          <w:highlight w:val="none"/>
          <w:lang w:eastAsia="zh-CN"/>
        </w:rPr>
      </w:pPr>
    </w:p>
    <w:p w14:paraId="0E253F04">
      <w:pPr>
        <w:keepNext w:val="0"/>
        <w:keepLines w:val="0"/>
        <w:pageBreakBefore w:val="0"/>
        <w:widowControl w:val="0"/>
        <w:shd w:val="clear" w:color="auto" w:fill="auto"/>
        <w:kinsoku/>
        <w:wordWrap/>
        <w:overflowPunct/>
        <w:topLinePunct w:val="0"/>
        <w:bidi w:val="0"/>
        <w:spacing w:line="720" w:lineRule="auto"/>
        <w:jc w:val="center"/>
        <w:rPr>
          <w:rFonts w:hint="eastAsia" w:ascii="宋体" w:hAnsi="宋体" w:eastAsia="宋体" w:cs="宋体"/>
          <w:b/>
          <w:bCs/>
          <w:color w:val="auto"/>
          <w:sz w:val="48"/>
          <w:szCs w:val="48"/>
          <w:highlight w:val="none"/>
          <w:lang w:eastAsia="zh-CN"/>
        </w:rPr>
      </w:pPr>
      <w:r>
        <w:rPr>
          <w:rFonts w:hint="eastAsia" w:cs="宋体"/>
          <w:b/>
          <w:bCs/>
          <w:color w:val="auto"/>
          <w:sz w:val="48"/>
          <w:szCs w:val="48"/>
          <w:highlight w:val="none"/>
          <w:lang w:eastAsia="zh-CN"/>
        </w:rPr>
        <w:t>西安市公共资源交易中心开评标辅助设备延续运维项目</w:t>
      </w:r>
    </w:p>
    <w:p w14:paraId="73C40ECA">
      <w:pPr>
        <w:keepNext w:val="0"/>
        <w:keepLines w:val="0"/>
        <w:pageBreakBefore w:val="0"/>
        <w:widowControl w:val="0"/>
        <w:shd w:val="clear" w:color="auto" w:fill="auto"/>
        <w:kinsoku/>
        <w:wordWrap/>
        <w:overflowPunct/>
        <w:topLinePunct w:val="0"/>
        <w:bidi w:val="0"/>
        <w:jc w:val="center"/>
        <w:rPr>
          <w:rFonts w:hint="eastAsia" w:ascii="宋体" w:hAnsi="宋体" w:eastAsia="宋体" w:cs="宋体"/>
          <w:b/>
          <w:bCs/>
          <w:color w:val="auto"/>
          <w:sz w:val="44"/>
          <w:szCs w:val="44"/>
          <w:highlight w:val="none"/>
          <w:lang w:eastAsia="zh-CN"/>
        </w:rPr>
      </w:pPr>
    </w:p>
    <w:p w14:paraId="4ED901FF">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lang w:eastAsia="zh-CN"/>
        </w:rPr>
      </w:pPr>
    </w:p>
    <w:p w14:paraId="50B41E19">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lang w:eastAsia="zh-CN"/>
        </w:rPr>
      </w:pPr>
    </w:p>
    <w:p w14:paraId="2F235809">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lang w:eastAsia="zh-CN"/>
        </w:rPr>
      </w:pPr>
    </w:p>
    <w:p w14:paraId="3AEECB1C">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lang w:eastAsia="zh-CN"/>
        </w:rPr>
      </w:pPr>
    </w:p>
    <w:p w14:paraId="49F596C9">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lang w:eastAsia="zh-CN"/>
        </w:rPr>
      </w:pPr>
    </w:p>
    <w:p w14:paraId="169C06DF">
      <w:pPr>
        <w:keepNext w:val="0"/>
        <w:keepLines w:val="0"/>
        <w:pageBreakBefore w:val="0"/>
        <w:widowControl w:val="0"/>
        <w:shd w:val="clear" w:color="auto" w:fill="auto"/>
        <w:kinsoku/>
        <w:wordWrap/>
        <w:overflowPunct/>
        <w:topLinePunct w:val="0"/>
        <w:bidi w:val="0"/>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（示范文本）</w:t>
      </w:r>
    </w:p>
    <w:p w14:paraId="344443E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1726F9EA">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38C01D4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20F419F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738B452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275F2E4D">
      <w:pPr>
        <w:pageBreakBefore w:val="0"/>
        <w:kinsoku/>
        <w:wordWrap/>
        <w:overflowPunct/>
        <w:topLinePunct w:val="0"/>
        <w:autoSpaceDE/>
        <w:autoSpaceDN/>
        <w:bidi w:val="0"/>
        <w:snapToGrid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bCs/>
          <w:color w:val="auto"/>
          <w:sz w:val="48"/>
          <w:szCs w:val="48"/>
          <w:highlight w:val="none"/>
          <w:lang w:eastAsia="zh-CN"/>
        </w:rPr>
        <w:br w:type="page"/>
      </w:r>
      <w:r>
        <w:rPr>
          <w:rFonts w:hint="eastAsia" w:ascii="宋体" w:hAnsi="宋体" w:eastAsia="宋体" w:cs="宋体"/>
          <w:sz w:val="21"/>
          <w:szCs w:val="21"/>
          <w:highlight w:val="none"/>
        </w:rPr>
        <w:t>甲方：</w:t>
      </w:r>
      <w:r>
        <w:rPr>
          <w:rFonts w:hint="eastAsia" w:ascii="宋体" w:hAnsi="宋体" w:eastAsia="宋体" w:cs="宋体"/>
          <w:sz w:val="21"/>
          <w:szCs w:val="21"/>
          <w:highlight w:val="none"/>
          <w:u w:val="single"/>
          <w:lang w:val="en-US" w:eastAsia="zh-CN"/>
        </w:rPr>
        <w:t xml:space="preserve">                           </w:t>
      </w:r>
    </w:p>
    <w:p w14:paraId="106A2130">
      <w:pPr>
        <w:pageBreakBefore w:val="0"/>
        <w:kinsoku/>
        <w:wordWrap/>
        <w:overflowPunct/>
        <w:topLinePunct w:val="0"/>
        <w:autoSpaceDE/>
        <w:autoSpaceDN/>
        <w:bidi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乙方：</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 xml:space="preserve"> </w:t>
      </w:r>
    </w:p>
    <w:p w14:paraId="53E337E0">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按照政府采购程序组织竞争性磋商，最终确定乙方为西安市公共资源交易中心开评标辅助设备延续运维项目成交供应商。依据《中华人民共和国民法典》以及竞争性磋商文件、成交通知书，经甲、乙双方协商，达成如下合同条款。</w:t>
      </w:r>
    </w:p>
    <w:p w14:paraId="4444DA79">
      <w:pPr>
        <w:pStyle w:val="3"/>
        <w:keepNext/>
        <w:keepLines/>
        <w:pageBreakBefore w:val="0"/>
        <w:widowControl/>
        <w:kinsoku/>
        <w:wordWrap/>
        <w:overflowPunct/>
        <w:topLinePunct w:val="0"/>
        <w:autoSpaceDE/>
        <w:autoSpaceDN/>
        <w:bidi w:val="0"/>
        <w:adjustRightInd/>
        <w:snapToGrid w:val="0"/>
        <w:spacing w:before="0" w:beforeLines="0" w:after="0" w:afterLines="0" w:line="360" w:lineRule="auto"/>
        <w:ind w:left="0" w:leftChars="0" w:firstLine="0" w:firstLineChars="0"/>
        <w:jc w:val="left"/>
        <w:textAlignment w:val="auto"/>
        <w:rPr>
          <w:rFonts w:hint="eastAsia" w:ascii="宋体" w:hAnsi="宋体" w:eastAsia="宋体" w:cs="宋体"/>
          <w:sz w:val="21"/>
          <w:szCs w:val="21"/>
          <w:highlight w:val="none"/>
        </w:rPr>
      </w:pPr>
      <w:bookmarkStart w:id="0" w:name="_Toc19723"/>
      <w:bookmarkStart w:id="1" w:name="_Toc18381"/>
      <w:bookmarkStart w:id="2" w:name="_Toc11975"/>
      <w:r>
        <w:rPr>
          <w:rFonts w:hint="eastAsia" w:ascii="宋体" w:hAnsi="宋体" w:eastAsia="宋体" w:cs="宋体"/>
          <w:sz w:val="21"/>
          <w:szCs w:val="21"/>
          <w:highlight w:val="none"/>
        </w:rPr>
        <w:t>一、项目概况</w:t>
      </w:r>
      <w:bookmarkEnd w:id="0"/>
      <w:bookmarkEnd w:id="1"/>
      <w:bookmarkEnd w:id="2"/>
    </w:p>
    <w:p w14:paraId="0E0EAA05">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1.项目名称：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eastAsia="zh-CN"/>
        </w:rPr>
        <w:t>西安市公共资源交易中心开评标辅助设备延续运维项目</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081D357C">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服务</w:t>
      </w:r>
      <w:r>
        <w:rPr>
          <w:rFonts w:hint="eastAsia" w:ascii="宋体" w:hAnsi="宋体" w:eastAsia="宋体" w:cs="宋体"/>
          <w:sz w:val="21"/>
          <w:szCs w:val="21"/>
          <w:highlight w:val="none"/>
        </w:rPr>
        <w:t>地点：</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甲方</w:t>
      </w:r>
      <w:r>
        <w:rPr>
          <w:rFonts w:hint="eastAsia" w:ascii="宋体" w:hAnsi="宋体" w:eastAsia="宋体" w:cs="宋体"/>
          <w:sz w:val="21"/>
          <w:szCs w:val="21"/>
          <w:highlight w:val="none"/>
          <w:u w:val="single"/>
        </w:rPr>
        <w:t xml:space="preserve">指定地点 </w:t>
      </w:r>
      <w:r>
        <w:rPr>
          <w:rFonts w:hint="eastAsia" w:ascii="宋体" w:hAnsi="宋体" w:eastAsia="宋体" w:cs="宋体"/>
          <w:sz w:val="21"/>
          <w:szCs w:val="21"/>
          <w:highlight w:val="none"/>
        </w:rPr>
        <w:t>；</w:t>
      </w:r>
    </w:p>
    <w:p w14:paraId="719B511D">
      <w:pPr>
        <w:pStyle w:val="4"/>
        <w:pageBreakBefore w:val="0"/>
        <w:kinsoku/>
        <w:wordWrap/>
        <w:overflowPunct/>
        <w:topLinePunct w:val="0"/>
        <w:bidi w:val="0"/>
        <w:snapToGrid w:val="0"/>
        <w:spacing w:line="360" w:lineRule="auto"/>
        <w:ind w:left="0" w:leftChars="0" w:firstLine="438" w:firstLineChars="209"/>
        <w:textAlignment w:val="auto"/>
        <w:rPr>
          <w:rFonts w:hint="default" w:eastAsia="宋体"/>
          <w:highlight w:val="none"/>
          <w:lang w:val="en-US" w:eastAsia="zh-CN"/>
        </w:rPr>
      </w:pPr>
      <w:r>
        <w:rPr>
          <w:rFonts w:hint="eastAsia" w:ascii="宋体" w:hAnsi="宋体" w:eastAsia="宋体" w:cs="宋体"/>
          <w:sz w:val="21"/>
          <w:szCs w:val="21"/>
          <w:highlight w:val="none"/>
          <w:lang w:val="en-US" w:eastAsia="zh-CN"/>
        </w:rPr>
        <w:t>3.</w:t>
      </w:r>
      <w:r>
        <w:rPr>
          <w:rFonts w:hint="eastAsia" w:ascii="宋体" w:hAnsi="宋体" w:eastAsia="宋体" w:cs="宋体"/>
          <w:kern w:val="0"/>
          <w:sz w:val="21"/>
          <w:szCs w:val="21"/>
          <w:highlight w:val="none"/>
          <w:lang w:eastAsia="zh-CN"/>
        </w:rPr>
        <w:t>服务期</w:t>
      </w:r>
      <w:r>
        <w:rPr>
          <w:rFonts w:hint="eastAsia" w:ascii="宋体" w:hAnsi="宋体" w:eastAsia="宋体" w:cs="宋体"/>
          <w:sz w:val="21"/>
          <w:szCs w:val="21"/>
          <w:highlight w:val="none"/>
        </w:rPr>
        <w:t>：</w:t>
      </w:r>
      <w:r>
        <w:rPr>
          <w:rFonts w:hint="eastAsia" w:ascii="宋体" w:hAnsi="宋体" w:eastAsia="宋体" w:cs="宋体"/>
          <w:kern w:val="0"/>
          <w:sz w:val="21"/>
          <w:szCs w:val="21"/>
          <w:highlight w:val="none"/>
          <w:u w:val="single"/>
          <w:lang w:val="en-US" w:eastAsia="zh-CN"/>
        </w:rPr>
        <w:t>暂定一年。因本合同所涉信息化设备发生重大变更（包括但不限于单位搬迁、设备停机、设备报废等），甲方有权根据实际情况需要，依据设备数量增减情况签订补充合同或提前终止合同。</w:t>
      </w:r>
    </w:p>
    <w:p w14:paraId="26710204">
      <w:pPr>
        <w:pStyle w:val="3"/>
        <w:keepNext/>
        <w:keepLines/>
        <w:pageBreakBefore w:val="0"/>
        <w:widowControl/>
        <w:kinsoku/>
        <w:wordWrap/>
        <w:overflowPunct/>
        <w:topLinePunct w:val="0"/>
        <w:autoSpaceDE/>
        <w:autoSpaceDN/>
        <w:bidi w:val="0"/>
        <w:adjustRightInd/>
        <w:snapToGrid w:val="0"/>
        <w:spacing w:before="0" w:beforeLines="0" w:after="0" w:afterLines="0" w:line="360" w:lineRule="auto"/>
        <w:ind w:left="0" w:leftChars="0" w:firstLine="0" w:firstLineChars="0"/>
        <w:jc w:val="left"/>
        <w:textAlignment w:val="auto"/>
        <w:rPr>
          <w:rFonts w:hint="eastAsia" w:ascii="宋体" w:hAnsi="宋体" w:eastAsia="宋体" w:cs="宋体"/>
          <w:sz w:val="21"/>
          <w:szCs w:val="21"/>
          <w:highlight w:val="none"/>
        </w:rPr>
      </w:pPr>
      <w:bookmarkStart w:id="3" w:name="_Toc18964"/>
      <w:bookmarkStart w:id="4" w:name="_Toc8474"/>
      <w:bookmarkStart w:id="5" w:name="_Toc32703"/>
      <w:r>
        <w:rPr>
          <w:rFonts w:hint="eastAsia" w:ascii="宋体" w:hAnsi="宋体" w:eastAsia="宋体" w:cs="宋体"/>
          <w:sz w:val="21"/>
          <w:szCs w:val="21"/>
          <w:highlight w:val="none"/>
        </w:rPr>
        <w:t>二、组成本合同的文件</w:t>
      </w:r>
      <w:bookmarkEnd w:id="3"/>
      <w:bookmarkEnd w:id="4"/>
      <w:bookmarkEnd w:id="5"/>
    </w:p>
    <w:p w14:paraId="0D3A75B4">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1.协议书；</w:t>
      </w:r>
    </w:p>
    <w:p w14:paraId="05EA4A74">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2.成交通知书、</w:t>
      </w:r>
      <w:r>
        <w:rPr>
          <w:rFonts w:hint="eastAsia" w:ascii="宋体" w:hAnsi="宋体" w:eastAsia="宋体" w:cs="宋体"/>
          <w:sz w:val="21"/>
          <w:szCs w:val="21"/>
          <w:highlight w:val="none"/>
          <w:lang w:eastAsia="zh-CN"/>
        </w:rPr>
        <w:t>磋商</w:t>
      </w:r>
      <w:r>
        <w:rPr>
          <w:rFonts w:hint="eastAsia" w:ascii="宋体" w:hAnsi="宋体" w:eastAsia="宋体" w:cs="宋体"/>
          <w:sz w:val="21"/>
          <w:szCs w:val="21"/>
          <w:highlight w:val="none"/>
        </w:rPr>
        <w:t>响应文件、</w:t>
      </w:r>
      <w:r>
        <w:rPr>
          <w:rFonts w:hint="eastAsia" w:ascii="宋体" w:hAnsi="宋体" w:eastAsia="宋体" w:cs="宋体"/>
          <w:sz w:val="21"/>
          <w:szCs w:val="21"/>
          <w:highlight w:val="none"/>
          <w:lang w:eastAsia="zh-CN"/>
        </w:rPr>
        <w:t>磋商</w:t>
      </w:r>
      <w:r>
        <w:rPr>
          <w:rFonts w:hint="eastAsia" w:ascii="宋体" w:hAnsi="宋体" w:eastAsia="宋体" w:cs="宋体"/>
          <w:sz w:val="21"/>
          <w:szCs w:val="21"/>
          <w:highlight w:val="none"/>
        </w:rPr>
        <w:t>文件、澄清、补充文件（或委托书）；</w:t>
      </w:r>
    </w:p>
    <w:p w14:paraId="11B5F429">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3.相关</w:t>
      </w:r>
      <w:r>
        <w:rPr>
          <w:rFonts w:hint="eastAsia" w:ascii="宋体" w:hAnsi="宋体" w:eastAsia="宋体" w:cs="宋体"/>
          <w:sz w:val="21"/>
          <w:szCs w:val="21"/>
          <w:highlight w:val="none"/>
          <w:lang w:val="en-US" w:eastAsia="zh-CN"/>
        </w:rPr>
        <w:t>技术服务要求</w:t>
      </w:r>
      <w:r>
        <w:rPr>
          <w:rFonts w:hint="eastAsia" w:ascii="宋体" w:hAnsi="宋体" w:eastAsia="宋体" w:cs="宋体"/>
          <w:sz w:val="21"/>
          <w:szCs w:val="21"/>
          <w:highlight w:val="none"/>
        </w:rPr>
        <w:t>；</w:t>
      </w:r>
    </w:p>
    <w:p w14:paraId="21BE4440">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4.附录，即：附表内相关服务的范围和内容；</w:t>
      </w:r>
    </w:p>
    <w:p w14:paraId="75DDE428">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本合同签订后，双方依法签订的补充协议也是本合同文件的组成部分。</w:t>
      </w:r>
    </w:p>
    <w:p w14:paraId="6ED68AA5">
      <w:pPr>
        <w:pageBreakBefore w:val="0"/>
        <w:kinsoku/>
        <w:wordWrap/>
        <w:overflowPunct/>
        <w:topLinePunct w:val="0"/>
        <w:autoSpaceDE/>
        <w:autoSpaceDN/>
        <w:bidi w:val="0"/>
        <w:snapToGrid w:val="0"/>
        <w:spacing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三、合同价款</w:t>
      </w:r>
    </w:p>
    <w:p w14:paraId="68A3DCAF">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合同总价款为人民币（大写）</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元整（</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元）。</w:t>
      </w:r>
    </w:p>
    <w:p w14:paraId="63BDDB62">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合同总价包括：包括但不限于人工费、巡检费、维修费、备品备件费、税金、采购代理服务费等其他一切相关费用。</w:t>
      </w:r>
    </w:p>
    <w:p w14:paraId="53B990A9">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合同总价一次性包死，不受市场价格变化因素的影响。</w:t>
      </w:r>
    </w:p>
    <w:p w14:paraId="0C147FAF">
      <w:pPr>
        <w:pageBreakBefore w:val="0"/>
        <w:kinsoku/>
        <w:wordWrap/>
        <w:overflowPunct/>
        <w:topLinePunct w:val="0"/>
        <w:autoSpaceDE/>
        <w:autoSpaceDN/>
        <w:bidi w:val="0"/>
        <w:snapToGrid w:val="0"/>
        <w:spacing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四、款项结算</w:t>
      </w:r>
    </w:p>
    <w:p w14:paraId="31F40513">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履约保证金金额：签约合同价5%，履约保证金提交时间：合同签订前，供应商须以银行转账或支票/汇票/本票或保函/保险的形式向采购人提交履约保证金。</w:t>
      </w:r>
    </w:p>
    <w:p w14:paraId="735C50D4">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支付方式：本合同生效后，达到付款条件起15日内，支付合同总金额的30.00%；服务期满半年，且财政预算批复后，达到付款条件起15日内，支付合同总金额的20.00%；服务期届满，且乙方完成全部服务内容，经最终验收合格后，达到付款条件起15日内，支付合同总金额的50.00%。</w:t>
      </w:r>
    </w:p>
    <w:p w14:paraId="1A0FD0E8">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若合同提前终止，双方应按照实际服务时长进行结算，服务费计算公式为：（合同总金额/12个月）×实际服务月数。除上述费用外，采购方无需就合同提前终止向服务方支付任何其他补偿、赔偿或违约金。</w:t>
      </w:r>
    </w:p>
    <w:p w14:paraId="71F20AFC">
      <w:pPr>
        <w:pageBreakBefore w:val="0"/>
        <w:kinsoku/>
        <w:wordWrap/>
        <w:overflowPunct/>
        <w:topLinePunct w:val="0"/>
        <w:autoSpaceDE/>
        <w:autoSpaceDN/>
        <w:bidi w:val="0"/>
        <w:snapToGrid w:val="0"/>
        <w:spacing w:line="360" w:lineRule="auto"/>
        <w:ind w:firstLine="420" w:firstLineChars="200"/>
        <w:jc w:val="left"/>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3.本合同维保服务期满后，按照考核得分结果，甲乙双方填写《政府采购项目验收单》，乙方持《政府采购项目验收单》《保证金退款申请单》到甲方保证金室办理履约保证金退还手续，五个工作日内无息退还。</w:t>
      </w:r>
    </w:p>
    <w:p w14:paraId="1744C9F6">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支付方式：银行转账。</w:t>
      </w:r>
    </w:p>
    <w:p w14:paraId="0A0642A1">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结算方式：乙方开具合规含税发票，持成交通知书、服务合同、发票，与甲方结算。若乙方届时未提供全额合规发票，甲方付款期限顺延，且不承担任何责任。</w:t>
      </w:r>
    </w:p>
    <w:p w14:paraId="6BA4481A">
      <w:pPr>
        <w:pageBreakBefore w:val="0"/>
        <w:kinsoku/>
        <w:wordWrap/>
        <w:overflowPunct/>
        <w:topLinePunct w:val="0"/>
        <w:autoSpaceDE/>
        <w:autoSpaceDN/>
        <w:bidi w:val="0"/>
        <w:snapToGrid w:val="0"/>
        <w:spacing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五、维保服务质量标准</w:t>
      </w:r>
    </w:p>
    <w:p w14:paraId="758E1A77">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乙方按照国家和行业标准</w:t>
      </w:r>
      <w:r>
        <w:rPr>
          <w:rFonts w:hint="eastAsia" w:ascii="宋体" w:hAnsi="宋体" w:eastAsia="宋体" w:cs="宋体"/>
          <w:sz w:val="21"/>
          <w:szCs w:val="21"/>
          <w:highlight w:val="none"/>
          <w:lang w:val="en-US" w:eastAsia="zh-CN"/>
        </w:rPr>
        <w:t>及磋商文件要求</w:t>
      </w:r>
      <w:r>
        <w:rPr>
          <w:rFonts w:hint="eastAsia" w:ascii="宋体" w:hAnsi="宋体" w:eastAsia="宋体" w:cs="宋体"/>
          <w:sz w:val="21"/>
          <w:szCs w:val="21"/>
          <w:highlight w:val="none"/>
        </w:rPr>
        <w:t>向甲方提供</w:t>
      </w:r>
      <w:r>
        <w:rPr>
          <w:rFonts w:hint="eastAsia" w:ascii="宋体" w:hAnsi="宋体" w:eastAsia="宋体" w:cs="宋体"/>
          <w:sz w:val="21"/>
          <w:szCs w:val="21"/>
          <w:highlight w:val="none"/>
          <w:lang w:eastAsia="zh-CN"/>
        </w:rPr>
        <w:t>运维</w:t>
      </w:r>
      <w:r>
        <w:rPr>
          <w:rFonts w:hint="eastAsia" w:ascii="宋体" w:hAnsi="宋体" w:eastAsia="宋体" w:cs="宋体"/>
          <w:sz w:val="21"/>
          <w:szCs w:val="21"/>
          <w:highlight w:val="none"/>
        </w:rPr>
        <w:t>服务，确保各项服务达到最佳运行效果。</w:t>
      </w:r>
    </w:p>
    <w:p w14:paraId="65CDFEE7">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运维方案科学、可行，人员配备合理，全面满足要求。</w:t>
      </w:r>
    </w:p>
    <w:p w14:paraId="48F99553">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乙方提供的服务，若发生侵权而产生的一切后果，由乙方承担全部责任。甲方保留索赔权力。</w:t>
      </w:r>
    </w:p>
    <w:p w14:paraId="34863E9C">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4.考核标准</w:t>
      </w:r>
    </w:p>
    <w:p w14:paraId="185542FC">
      <w:pPr>
        <w:pageBreakBefore w:val="0"/>
        <w:kinsoku/>
        <w:wordWrap/>
        <w:overflowPunct/>
        <w:topLinePunct w:val="0"/>
        <w:autoSpaceDE/>
        <w:autoSpaceDN/>
        <w:bidi w:val="0"/>
        <w:snapToGrid w:val="0"/>
        <w:spacing w:line="360" w:lineRule="auto"/>
        <w:ind w:firstLine="420" w:firstLineChars="200"/>
        <w:jc w:val="lef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4.1维保服务考核打分表详见附表1。</w:t>
      </w:r>
    </w:p>
    <w:p w14:paraId="1C3BDC85">
      <w:pPr>
        <w:pageBreakBefore w:val="0"/>
        <w:kinsoku/>
        <w:wordWrap/>
        <w:overflowPunct/>
        <w:topLinePunct w:val="0"/>
        <w:autoSpaceDE/>
        <w:autoSpaceDN/>
        <w:bidi w:val="0"/>
        <w:snapToGrid w:val="0"/>
        <w:spacing w:line="360" w:lineRule="auto"/>
        <w:ind w:firstLine="420" w:firstLineChars="200"/>
        <w:jc w:val="lef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4.2</w:t>
      </w:r>
      <w:r>
        <w:rPr>
          <w:rFonts w:hint="default" w:ascii="宋体" w:hAnsi="宋体" w:eastAsia="宋体" w:cs="宋体"/>
          <w:sz w:val="21"/>
          <w:szCs w:val="21"/>
          <w:highlight w:val="none"/>
          <w:lang w:val="en-US" w:eastAsia="zh-CN"/>
        </w:rPr>
        <w:t>季度考核：</w:t>
      </w:r>
      <w:r>
        <w:rPr>
          <w:rFonts w:hint="eastAsia" w:ascii="宋体" w:hAnsi="宋体" w:eastAsia="宋体" w:cs="宋体"/>
          <w:sz w:val="21"/>
          <w:szCs w:val="21"/>
          <w:highlight w:val="none"/>
          <w:lang w:val="en-US" w:eastAsia="zh-CN"/>
        </w:rPr>
        <w:t>甲方</w:t>
      </w:r>
      <w:r>
        <w:rPr>
          <w:rFonts w:hint="default" w:ascii="宋体" w:hAnsi="宋体" w:eastAsia="宋体" w:cs="宋体"/>
          <w:sz w:val="21"/>
          <w:szCs w:val="21"/>
          <w:highlight w:val="none"/>
          <w:lang w:val="en-US" w:eastAsia="zh-CN"/>
        </w:rPr>
        <w:t>每季度对</w:t>
      </w:r>
      <w:r>
        <w:rPr>
          <w:rFonts w:hint="eastAsia" w:ascii="宋体" w:hAnsi="宋体" w:eastAsia="宋体" w:cs="宋体"/>
          <w:sz w:val="21"/>
          <w:szCs w:val="21"/>
          <w:highlight w:val="none"/>
          <w:lang w:val="en-US" w:eastAsia="zh-CN"/>
        </w:rPr>
        <w:t>乙方</w:t>
      </w:r>
      <w:r>
        <w:rPr>
          <w:rFonts w:hint="default" w:ascii="宋体" w:hAnsi="宋体" w:eastAsia="宋体" w:cs="宋体"/>
          <w:sz w:val="21"/>
          <w:szCs w:val="21"/>
          <w:highlight w:val="none"/>
          <w:lang w:val="en-US" w:eastAsia="zh-CN"/>
        </w:rPr>
        <w:t>开展一次运维服务考核，考核内容包括日常服务及故障处理、应急保障、技术支援、系统巡检、运维报告、文档管理、服务质量、服务效果、工作规范、工作纪律等方面，考核结果根据得分情况划为良好、合格、一般三个等次。</w:t>
      </w:r>
    </w:p>
    <w:p w14:paraId="5DCD3348">
      <w:pPr>
        <w:pageBreakBefore w:val="0"/>
        <w:kinsoku/>
        <w:wordWrap/>
        <w:overflowPunct/>
        <w:topLinePunct w:val="0"/>
        <w:autoSpaceDE/>
        <w:autoSpaceDN/>
        <w:bidi w:val="0"/>
        <w:snapToGrid w:val="0"/>
        <w:spacing w:line="360" w:lineRule="auto"/>
        <w:ind w:firstLine="420" w:firstLineChars="200"/>
        <w:jc w:val="lef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4.2</w:t>
      </w:r>
      <w:r>
        <w:rPr>
          <w:rFonts w:hint="default" w:ascii="宋体" w:hAnsi="宋体" w:eastAsia="宋体" w:cs="宋体"/>
          <w:sz w:val="21"/>
          <w:szCs w:val="21"/>
          <w:highlight w:val="none"/>
          <w:lang w:val="en-US" w:eastAsia="zh-CN"/>
        </w:rPr>
        <w:t>年度考核：年度运维服务考核根据季度运维服务考核结果计算得分，即：年度考核得分=全年季度考核得分总和÷4。</w:t>
      </w:r>
    </w:p>
    <w:p w14:paraId="1F0ED060">
      <w:pPr>
        <w:pageBreakBefore w:val="0"/>
        <w:kinsoku/>
        <w:wordWrap/>
        <w:overflowPunct/>
        <w:topLinePunct w:val="0"/>
        <w:autoSpaceDE/>
        <w:autoSpaceDN/>
        <w:bidi w:val="0"/>
        <w:snapToGrid w:val="0"/>
        <w:spacing w:line="360" w:lineRule="auto"/>
        <w:ind w:firstLine="420" w:firstLineChars="200"/>
        <w:jc w:val="lef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4.3</w:t>
      </w:r>
      <w:r>
        <w:rPr>
          <w:rFonts w:hint="default" w:ascii="宋体" w:hAnsi="宋体" w:eastAsia="宋体" w:cs="宋体"/>
          <w:sz w:val="21"/>
          <w:szCs w:val="21"/>
          <w:highlight w:val="none"/>
          <w:lang w:val="en-US" w:eastAsia="zh-CN"/>
        </w:rPr>
        <w:t>考核得分：90分（含90）及以上为“良好”、80分-90分（不含）为“合格”、70分-80分（不含）为“一般”</w:t>
      </w:r>
      <w:r>
        <w:rPr>
          <w:rFonts w:hint="eastAsia" w:ascii="宋体" w:hAnsi="宋体" w:eastAsia="宋体" w:cs="宋体"/>
          <w:sz w:val="21"/>
          <w:szCs w:val="21"/>
          <w:highlight w:val="none"/>
          <w:lang w:val="en-US" w:eastAsia="zh-CN"/>
        </w:rPr>
        <w:t>、</w:t>
      </w:r>
      <w:r>
        <w:rPr>
          <w:rFonts w:hint="default" w:ascii="宋体" w:hAnsi="宋体" w:eastAsia="宋体" w:cs="宋体"/>
          <w:sz w:val="21"/>
          <w:szCs w:val="21"/>
          <w:highlight w:val="none"/>
          <w:lang w:val="en-US" w:eastAsia="zh-CN"/>
        </w:rPr>
        <w:t>70分（不含）</w:t>
      </w:r>
      <w:r>
        <w:rPr>
          <w:rFonts w:hint="eastAsia" w:ascii="宋体" w:hAnsi="宋体" w:eastAsia="宋体" w:cs="宋体"/>
          <w:sz w:val="21"/>
          <w:szCs w:val="21"/>
          <w:highlight w:val="none"/>
          <w:lang w:val="en-US" w:eastAsia="zh-CN"/>
        </w:rPr>
        <w:t>以下</w:t>
      </w:r>
      <w:r>
        <w:rPr>
          <w:rFonts w:hint="default" w:ascii="宋体" w:hAnsi="宋体" w:eastAsia="宋体" w:cs="宋体"/>
          <w:sz w:val="21"/>
          <w:szCs w:val="21"/>
          <w:highlight w:val="none"/>
          <w:lang w:val="en-US" w:eastAsia="zh-CN"/>
        </w:rPr>
        <w:t>为“</w:t>
      </w:r>
      <w:r>
        <w:rPr>
          <w:rFonts w:hint="eastAsia" w:ascii="宋体" w:hAnsi="宋体" w:eastAsia="宋体" w:cs="宋体"/>
          <w:sz w:val="21"/>
          <w:szCs w:val="21"/>
          <w:highlight w:val="none"/>
          <w:lang w:val="en-US" w:eastAsia="zh-CN"/>
        </w:rPr>
        <w:t>不合格</w:t>
      </w:r>
      <w:r>
        <w:rPr>
          <w:rFonts w:hint="default" w:ascii="宋体" w:hAnsi="宋体" w:eastAsia="宋体" w:cs="宋体"/>
          <w:sz w:val="21"/>
          <w:szCs w:val="21"/>
          <w:highlight w:val="none"/>
          <w:lang w:val="en-US" w:eastAsia="zh-CN"/>
        </w:rPr>
        <w:t>”。</w:t>
      </w:r>
    </w:p>
    <w:p w14:paraId="3ABF3384">
      <w:pPr>
        <w:pageBreakBefore w:val="0"/>
        <w:kinsoku/>
        <w:wordWrap/>
        <w:overflowPunct/>
        <w:topLinePunct w:val="0"/>
        <w:autoSpaceDE/>
        <w:autoSpaceDN/>
        <w:bidi w:val="0"/>
        <w:snapToGrid w:val="0"/>
        <w:spacing w:line="360" w:lineRule="auto"/>
        <w:ind w:firstLine="420" w:firstLineChars="200"/>
        <w:jc w:val="lef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4.4</w:t>
      </w:r>
      <w:r>
        <w:rPr>
          <w:rFonts w:hint="default" w:ascii="宋体" w:hAnsi="宋体" w:eastAsia="宋体" w:cs="宋体"/>
          <w:sz w:val="21"/>
          <w:szCs w:val="21"/>
          <w:highlight w:val="none"/>
          <w:lang w:val="en-US" w:eastAsia="zh-CN"/>
        </w:rPr>
        <w:t>运维服务期间，</w:t>
      </w:r>
      <w:r>
        <w:rPr>
          <w:rFonts w:hint="eastAsia" w:ascii="宋体" w:hAnsi="宋体" w:eastAsia="宋体" w:cs="宋体"/>
          <w:sz w:val="21"/>
          <w:szCs w:val="21"/>
          <w:highlight w:val="none"/>
          <w:lang w:val="en-US" w:eastAsia="zh-CN"/>
        </w:rPr>
        <w:t>甲方</w:t>
      </w:r>
      <w:r>
        <w:rPr>
          <w:rFonts w:hint="default" w:ascii="宋体" w:hAnsi="宋体" w:eastAsia="宋体" w:cs="宋体"/>
          <w:sz w:val="21"/>
          <w:szCs w:val="21"/>
          <w:highlight w:val="none"/>
          <w:lang w:val="en-US" w:eastAsia="zh-CN"/>
        </w:rPr>
        <w:t>有权根据考核结果和实际工作需要，对运维服务考核标准及相关管理规定进行变更。</w:t>
      </w:r>
    </w:p>
    <w:p w14:paraId="3AD607FA">
      <w:pPr>
        <w:pageBreakBefore w:val="0"/>
        <w:kinsoku/>
        <w:wordWrap/>
        <w:overflowPunct/>
        <w:topLinePunct w:val="0"/>
        <w:autoSpaceDE/>
        <w:autoSpaceDN/>
        <w:bidi w:val="0"/>
        <w:snapToGrid w:val="0"/>
        <w:spacing w:line="360" w:lineRule="auto"/>
        <w:ind w:firstLine="420" w:firstLineChars="200"/>
        <w:jc w:val="lef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4.5</w:t>
      </w:r>
      <w:r>
        <w:rPr>
          <w:rFonts w:hint="default" w:ascii="宋体" w:hAnsi="宋体" w:eastAsia="宋体" w:cs="宋体"/>
          <w:sz w:val="21"/>
          <w:szCs w:val="21"/>
          <w:highlight w:val="none"/>
          <w:lang w:val="en-US" w:eastAsia="zh-CN"/>
        </w:rPr>
        <w:t>服务期满后，</w:t>
      </w:r>
      <w:r>
        <w:rPr>
          <w:rFonts w:hint="eastAsia" w:ascii="宋体" w:hAnsi="宋体" w:eastAsia="宋体" w:cs="宋体"/>
          <w:sz w:val="21"/>
          <w:szCs w:val="21"/>
          <w:highlight w:val="none"/>
          <w:lang w:val="en-US" w:eastAsia="zh-CN"/>
        </w:rPr>
        <w:t>甲方</w:t>
      </w:r>
      <w:r>
        <w:rPr>
          <w:rFonts w:hint="default" w:ascii="宋体" w:hAnsi="宋体" w:eastAsia="宋体" w:cs="宋体"/>
          <w:sz w:val="21"/>
          <w:szCs w:val="21"/>
          <w:highlight w:val="none"/>
          <w:lang w:val="en-US" w:eastAsia="zh-CN"/>
        </w:rPr>
        <w:t>根据全年考核打分结果组织验收。验收合格后，由</w:t>
      </w:r>
      <w:r>
        <w:rPr>
          <w:rFonts w:hint="eastAsia" w:ascii="宋体" w:hAnsi="宋体" w:eastAsia="宋体" w:cs="宋体"/>
          <w:sz w:val="21"/>
          <w:szCs w:val="21"/>
          <w:highlight w:val="none"/>
          <w:lang w:val="en-US" w:eastAsia="zh-CN"/>
        </w:rPr>
        <w:t>乙方</w:t>
      </w:r>
      <w:r>
        <w:rPr>
          <w:rFonts w:hint="default" w:ascii="宋体" w:hAnsi="宋体" w:eastAsia="宋体" w:cs="宋体"/>
          <w:sz w:val="21"/>
          <w:szCs w:val="21"/>
          <w:highlight w:val="none"/>
          <w:lang w:val="en-US" w:eastAsia="zh-CN"/>
        </w:rPr>
        <w:t>提出书面申请，</w:t>
      </w:r>
      <w:r>
        <w:rPr>
          <w:rFonts w:hint="eastAsia" w:ascii="宋体" w:hAnsi="宋体" w:eastAsia="宋体" w:cs="宋体"/>
          <w:sz w:val="21"/>
          <w:szCs w:val="21"/>
          <w:highlight w:val="none"/>
          <w:lang w:val="en-US" w:eastAsia="zh-CN"/>
        </w:rPr>
        <w:t>甲方</w:t>
      </w:r>
      <w:r>
        <w:rPr>
          <w:rFonts w:hint="default" w:ascii="宋体" w:hAnsi="宋体" w:eastAsia="宋体" w:cs="宋体"/>
          <w:sz w:val="21"/>
          <w:szCs w:val="21"/>
          <w:highlight w:val="none"/>
          <w:lang w:val="en-US" w:eastAsia="zh-CN"/>
        </w:rPr>
        <w:t>按照考核等次对应的付款比例退付履约保证金：良好等次为100%、合格等次为90%、一般等次为80%</w:t>
      </w:r>
      <w:r>
        <w:rPr>
          <w:rFonts w:hint="eastAsia" w:ascii="宋体" w:hAnsi="宋体" w:eastAsia="宋体" w:cs="宋体"/>
          <w:sz w:val="21"/>
          <w:szCs w:val="21"/>
          <w:highlight w:val="none"/>
          <w:lang w:val="en-US" w:eastAsia="zh-CN"/>
        </w:rPr>
        <w:t>、不合格等次为0%</w:t>
      </w:r>
      <w:r>
        <w:rPr>
          <w:rFonts w:hint="default" w:ascii="宋体" w:hAnsi="宋体" w:eastAsia="宋体" w:cs="宋体"/>
          <w:sz w:val="21"/>
          <w:szCs w:val="21"/>
          <w:highlight w:val="none"/>
          <w:lang w:val="en-US" w:eastAsia="zh-CN"/>
        </w:rPr>
        <w:t>。</w:t>
      </w:r>
    </w:p>
    <w:p w14:paraId="74CD135D">
      <w:pPr>
        <w:pageBreakBefore w:val="0"/>
        <w:kinsoku/>
        <w:wordWrap/>
        <w:overflowPunct/>
        <w:topLinePunct w:val="0"/>
        <w:autoSpaceDE/>
        <w:autoSpaceDN/>
        <w:bidi w:val="0"/>
        <w:snapToGrid w:val="0"/>
        <w:spacing w:line="360" w:lineRule="auto"/>
        <w:jc w:val="left"/>
        <w:rPr>
          <w:rFonts w:hint="eastAsia" w:ascii="宋体" w:hAnsi="宋体" w:eastAsia="宋体" w:cs="宋体"/>
          <w:b/>
          <w:sz w:val="21"/>
          <w:szCs w:val="21"/>
          <w:highlight w:val="none"/>
        </w:rPr>
      </w:pPr>
      <w:r>
        <w:rPr>
          <w:rFonts w:hint="eastAsia" w:ascii="宋体" w:hAnsi="宋体" w:eastAsia="宋体" w:cs="宋体"/>
          <w:b/>
          <w:sz w:val="21"/>
          <w:szCs w:val="21"/>
          <w:highlight w:val="none"/>
        </w:rPr>
        <w:t>六、双方的权利和义务</w:t>
      </w:r>
    </w:p>
    <w:p w14:paraId="3DD68A0C">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甲方定期做好系统数据备份，并对备份数据进行妥善保管。甲方在</w:t>
      </w:r>
      <w:r>
        <w:rPr>
          <w:rFonts w:hint="eastAsia" w:ascii="宋体" w:hAnsi="宋体" w:eastAsia="宋体" w:cs="宋体"/>
          <w:sz w:val="21"/>
          <w:szCs w:val="21"/>
          <w:highlight w:val="none"/>
          <w:lang w:val="en-US" w:eastAsia="zh-CN"/>
        </w:rPr>
        <w:t>使用</w:t>
      </w:r>
      <w:r>
        <w:rPr>
          <w:rFonts w:hint="eastAsia" w:ascii="宋体" w:hAnsi="宋体" w:eastAsia="宋体" w:cs="宋体"/>
          <w:sz w:val="21"/>
          <w:szCs w:val="21"/>
          <w:highlight w:val="none"/>
        </w:rPr>
        <w:t>过程中发现</w:t>
      </w:r>
      <w:r>
        <w:rPr>
          <w:rFonts w:hint="eastAsia" w:ascii="宋体" w:hAnsi="宋体" w:eastAsia="宋体" w:cs="宋体"/>
          <w:sz w:val="21"/>
          <w:szCs w:val="21"/>
          <w:highlight w:val="none"/>
          <w:lang w:val="en-US" w:eastAsia="zh-CN"/>
        </w:rPr>
        <w:t>设备</w:t>
      </w:r>
      <w:r>
        <w:rPr>
          <w:rFonts w:hint="eastAsia" w:ascii="宋体" w:hAnsi="宋体" w:eastAsia="宋体" w:cs="宋体"/>
          <w:sz w:val="21"/>
          <w:szCs w:val="21"/>
          <w:highlight w:val="none"/>
        </w:rPr>
        <w:t>出现异常，应及时与乙方取得联系，并记录当前故障现象，便于乙方做出诊断。甲方在乙方服务人员服务完成后，配合检查</w:t>
      </w:r>
      <w:r>
        <w:rPr>
          <w:rFonts w:hint="eastAsia" w:ascii="宋体" w:hAnsi="宋体" w:eastAsia="宋体" w:cs="宋体"/>
          <w:sz w:val="21"/>
          <w:szCs w:val="21"/>
          <w:highlight w:val="none"/>
          <w:lang w:val="en-US" w:eastAsia="zh-CN"/>
        </w:rPr>
        <w:t>设备</w:t>
      </w:r>
      <w:r>
        <w:rPr>
          <w:rFonts w:hint="eastAsia" w:ascii="宋体" w:hAnsi="宋体" w:eastAsia="宋体" w:cs="宋体"/>
          <w:sz w:val="21"/>
          <w:szCs w:val="21"/>
          <w:highlight w:val="none"/>
        </w:rPr>
        <w:t>系统运行是否正常。</w:t>
      </w:r>
    </w:p>
    <w:p w14:paraId="06E9EE26">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乙方应按时向甲方提供合格的</w:t>
      </w:r>
      <w:r>
        <w:rPr>
          <w:rFonts w:hint="eastAsia" w:ascii="宋体" w:hAnsi="宋体" w:eastAsia="宋体" w:cs="宋体"/>
          <w:sz w:val="21"/>
          <w:szCs w:val="21"/>
          <w:highlight w:val="none"/>
          <w:lang w:eastAsia="zh-CN"/>
        </w:rPr>
        <w:t>运维</w:t>
      </w:r>
      <w:r>
        <w:rPr>
          <w:rFonts w:hint="eastAsia" w:ascii="宋体" w:hAnsi="宋体" w:eastAsia="宋体" w:cs="宋体"/>
          <w:sz w:val="21"/>
          <w:szCs w:val="21"/>
          <w:highlight w:val="none"/>
        </w:rPr>
        <w:t>服务及必要的维护培训。</w:t>
      </w:r>
    </w:p>
    <w:p w14:paraId="58782A4B">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因乙方技术问题或维护问题造成甲方的硬件受到损坏，乙方应负责赔偿甲方因此所遭受的全部损失。</w:t>
      </w:r>
    </w:p>
    <w:p w14:paraId="77C192C3">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乙方为甲方提供定期巡检，做好预防性维护。</w:t>
      </w:r>
    </w:p>
    <w:p w14:paraId="1FE7360A">
      <w:pPr>
        <w:pageBreakBefore w:val="0"/>
        <w:kinsoku/>
        <w:wordWrap/>
        <w:overflowPunct/>
        <w:topLinePunct w:val="0"/>
        <w:autoSpaceDE/>
        <w:autoSpaceDN/>
        <w:bidi w:val="0"/>
        <w:snapToGrid w:val="0"/>
        <w:spacing w:line="360" w:lineRule="auto"/>
        <w:rPr>
          <w:rFonts w:hint="eastAsia" w:ascii="宋体" w:hAnsi="宋体" w:eastAsia="宋体" w:cs="宋体"/>
          <w:bCs/>
          <w:sz w:val="21"/>
          <w:szCs w:val="21"/>
          <w:highlight w:val="none"/>
        </w:rPr>
      </w:pPr>
      <w:r>
        <w:rPr>
          <w:rFonts w:hint="eastAsia" w:ascii="宋体" w:hAnsi="宋体" w:eastAsia="宋体" w:cs="宋体"/>
          <w:b/>
          <w:sz w:val="21"/>
          <w:szCs w:val="21"/>
          <w:highlight w:val="none"/>
        </w:rPr>
        <w:t xml:space="preserve">七、保密 </w:t>
      </w:r>
      <w:r>
        <w:rPr>
          <w:rFonts w:hint="eastAsia" w:ascii="宋体" w:hAnsi="宋体" w:eastAsia="宋体" w:cs="宋体"/>
          <w:bCs/>
          <w:sz w:val="21"/>
          <w:szCs w:val="21"/>
          <w:highlight w:val="none"/>
        </w:rPr>
        <w:t xml:space="preserve"> </w:t>
      </w:r>
    </w:p>
    <w:p w14:paraId="14FD47BB">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1.合同签订后，乙方与甲方签订《运维保密协议》，对履约期间了解到的甲方的信息、资料等进行严格保密，不得向他人泄露。合同的解除或终止不免除乙方应承担的保密义务。</w:t>
      </w:r>
    </w:p>
    <w:p w14:paraId="2A454A0B">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2.该保密协议在合同终止后仍然继续有效。因违反该协议而给甲方造成损失的，乙方应当赔偿相应的损失。</w:t>
      </w:r>
    </w:p>
    <w:p w14:paraId="45155978">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3.双方承诺，除非法律另有规定或双方一致同意，任何一方不得将本协议的内容向第三方透露，否则，应向对方承担相应的违约责任。</w:t>
      </w:r>
    </w:p>
    <w:p w14:paraId="13D71FA5">
      <w:pPr>
        <w:pageBreakBefore w:val="0"/>
        <w:wordWrap/>
        <w:overflowPunct/>
        <w:topLinePunct w:val="0"/>
        <w:bidi w:val="0"/>
        <w:snapToGrid w:val="0"/>
        <w:spacing w:line="360" w:lineRule="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八、不可抗力事件处理</w:t>
      </w:r>
    </w:p>
    <w:p w14:paraId="7F190F26">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zh-CN"/>
        </w:rPr>
        <w:t>1</w:t>
      </w:r>
      <w:r>
        <w:rPr>
          <w:rFonts w:hint="eastAsia" w:cs="宋体"/>
          <w:sz w:val="21"/>
          <w:szCs w:val="21"/>
          <w:highlight w:val="none"/>
          <w:lang w:val="en-US" w:eastAsia="zh-CN"/>
        </w:rPr>
        <w:t>.</w:t>
      </w:r>
      <w:r>
        <w:rPr>
          <w:rFonts w:hint="eastAsia" w:ascii="宋体" w:hAnsi="宋体" w:eastAsia="宋体" w:cs="宋体"/>
          <w:sz w:val="21"/>
          <w:szCs w:val="21"/>
          <w:highlight w:val="none"/>
          <w:lang w:val="en-US" w:eastAsia="en-US"/>
        </w:rPr>
        <w:t>不可抗力指下列事件:战争、骚乱、瘟疫、火灾、洪水、地震、风暴、潮水或其他自然灾害，以及本合同双方不可预见、不可防止并不能避免或克服的一切其他因素和事件</w:t>
      </w:r>
      <w:r>
        <w:rPr>
          <w:rFonts w:hint="eastAsia" w:ascii="宋体" w:hAnsi="宋体" w:eastAsia="宋体" w:cs="宋体"/>
          <w:sz w:val="21"/>
          <w:szCs w:val="21"/>
          <w:highlight w:val="none"/>
          <w:lang w:eastAsia="zh-CN"/>
        </w:rPr>
        <w:t>；</w:t>
      </w:r>
    </w:p>
    <w:p w14:paraId="7D6F8BEF">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zh-CN"/>
        </w:rPr>
        <w:t>2</w:t>
      </w:r>
      <w:r>
        <w:rPr>
          <w:rFonts w:hint="eastAsia" w:cs="宋体"/>
          <w:sz w:val="21"/>
          <w:szCs w:val="21"/>
          <w:highlight w:val="none"/>
          <w:lang w:val="en-US" w:eastAsia="zh-CN"/>
        </w:rPr>
        <w:t>.</w:t>
      </w:r>
      <w:r>
        <w:rPr>
          <w:rFonts w:hint="eastAsia" w:ascii="宋体" w:hAnsi="宋体" w:eastAsia="宋体" w:cs="宋体"/>
          <w:sz w:val="21"/>
          <w:szCs w:val="21"/>
          <w:highlight w:val="none"/>
          <w:lang w:val="en-US" w:eastAsia="en-US"/>
        </w:rPr>
        <w:t>本合同任何一方因不可抗力不能履行本合同规定的全部或部分义务，应及时通知合同相对方</w:t>
      </w:r>
      <w:r>
        <w:rPr>
          <w:rFonts w:hint="eastAsia" w:ascii="宋体" w:hAnsi="宋体" w:eastAsia="宋体" w:cs="宋体"/>
          <w:sz w:val="21"/>
          <w:szCs w:val="21"/>
          <w:highlight w:val="none"/>
          <w:lang w:eastAsia="zh-CN"/>
        </w:rPr>
        <w:t>；</w:t>
      </w:r>
    </w:p>
    <w:p w14:paraId="22D4D583">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cs="宋体"/>
          <w:sz w:val="21"/>
          <w:szCs w:val="21"/>
          <w:highlight w:val="none"/>
          <w:lang w:val="en-US" w:eastAsia="zh-CN"/>
        </w:rPr>
        <w:t>3.</w:t>
      </w:r>
      <w:r>
        <w:rPr>
          <w:rFonts w:hint="eastAsia" w:ascii="宋体" w:hAnsi="宋体" w:eastAsia="宋体" w:cs="宋体"/>
          <w:sz w:val="21"/>
          <w:szCs w:val="21"/>
          <w:highlight w:val="none"/>
          <w:lang w:val="en-US" w:eastAsia="en-US"/>
        </w:rPr>
        <w:t>在合同有效期内，任何一方因不可抗力事件导致不能履行合同，则合同履行期可延长，其延长期与不可抗力影响期相同</w:t>
      </w:r>
      <w:r>
        <w:rPr>
          <w:rFonts w:hint="eastAsia" w:cs="宋体"/>
          <w:sz w:val="21"/>
          <w:szCs w:val="21"/>
          <w:highlight w:val="none"/>
          <w:lang w:val="en-US" w:eastAsia="zh-CN"/>
        </w:rPr>
        <w:t>。</w:t>
      </w:r>
    </w:p>
    <w:p w14:paraId="6726B0A9">
      <w:pPr>
        <w:pageBreakBefore w:val="0"/>
        <w:wordWrap/>
        <w:overflowPunct/>
        <w:topLinePunct w:val="0"/>
        <w:bidi w:val="0"/>
        <w:snapToGrid w:val="0"/>
        <w:spacing w:line="360" w:lineRule="auto"/>
        <w:rPr>
          <w:rFonts w:hint="eastAsia" w:ascii="宋体" w:hAnsi="宋体" w:eastAsia="宋体" w:cs="宋体"/>
          <w:b/>
          <w:bCs/>
          <w:sz w:val="21"/>
          <w:szCs w:val="21"/>
          <w:highlight w:val="none"/>
          <w:lang w:val="en-US" w:eastAsia="zh-CN"/>
        </w:rPr>
      </w:pPr>
      <w:r>
        <w:rPr>
          <w:rFonts w:hint="eastAsia" w:cs="宋体"/>
          <w:b/>
          <w:bCs/>
          <w:sz w:val="21"/>
          <w:szCs w:val="21"/>
          <w:highlight w:val="none"/>
          <w:lang w:val="en-US" w:eastAsia="zh-CN"/>
        </w:rPr>
        <w:t>九、</w:t>
      </w:r>
      <w:r>
        <w:rPr>
          <w:rFonts w:hint="eastAsia" w:ascii="宋体" w:hAnsi="宋体" w:eastAsia="宋体" w:cs="宋体"/>
          <w:b/>
          <w:bCs/>
          <w:sz w:val="21"/>
          <w:szCs w:val="21"/>
          <w:highlight w:val="none"/>
          <w:lang w:val="en-US" w:eastAsia="zh-CN"/>
        </w:rPr>
        <w:t>违约责任</w:t>
      </w:r>
    </w:p>
    <w:p w14:paraId="57246FC2">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en-US"/>
        </w:rPr>
        <w:t>1.甲乙双方必须遵守本合同并执行合同中的各项规定，保证本合同的正常履行</w:t>
      </w:r>
      <w:r>
        <w:rPr>
          <w:rFonts w:hint="eastAsia" w:ascii="宋体" w:hAnsi="宋体" w:eastAsia="宋体" w:cs="宋体"/>
          <w:sz w:val="21"/>
          <w:szCs w:val="21"/>
          <w:highlight w:val="none"/>
          <w:lang w:val="en-US" w:eastAsia="zh-CN"/>
        </w:rPr>
        <w:t>；</w:t>
      </w:r>
    </w:p>
    <w:p w14:paraId="65EA82ED">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en-US"/>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89E148F">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en-US"/>
        </w:rPr>
        <w:t>3.</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lang w:val="en-US" w:eastAsia="en-US"/>
        </w:rPr>
        <w:t>出现以下几种情况之一（拒绝按照</w:t>
      </w:r>
      <w:r>
        <w:rPr>
          <w:rFonts w:hint="eastAsia" w:ascii="宋体" w:hAnsi="宋体" w:eastAsia="宋体" w:cs="宋体"/>
          <w:sz w:val="21"/>
          <w:szCs w:val="21"/>
          <w:highlight w:val="none"/>
          <w:lang w:val="en-US" w:eastAsia="zh-CN"/>
        </w:rPr>
        <w:t>采购文件</w:t>
      </w:r>
      <w:r>
        <w:rPr>
          <w:rFonts w:hint="eastAsia" w:ascii="宋体" w:hAnsi="宋体" w:eastAsia="宋体" w:cs="宋体"/>
          <w:sz w:val="21"/>
          <w:szCs w:val="21"/>
          <w:highlight w:val="none"/>
          <w:lang w:val="en-US" w:eastAsia="en-US"/>
        </w:rPr>
        <w:t>要求签订合同、未按合同约定提供服务、所提供服务不能满足</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lang w:val="en-US" w:eastAsia="en-US"/>
        </w:rPr>
        <w:t>要求、季度考核得分低于70分</w:t>
      </w:r>
      <w:r>
        <w:rPr>
          <w:rFonts w:hint="eastAsia" w:ascii="宋体" w:hAnsi="宋体" w:eastAsia="宋体" w:cs="宋体"/>
          <w:sz w:val="21"/>
          <w:szCs w:val="21"/>
          <w:highlight w:val="none"/>
          <w:lang w:val="en-US" w:eastAsia="zh-CN"/>
        </w:rPr>
        <w:t>等</w:t>
      </w:r>
      <w:r>
        <w:rPr>
          <w:rFonts w:hint="eastAsia" w:ascii="宋体" w:hAnsi="宋体" w:eastAsia="宋体" w:cs="宋体"/>
          <w:sz w:val="21"/>
          <w:szCs w:val="21"/>
          <w:highlight w:val="none"/>
          <w:lang w:val="en-US" w:eastAsia="en-US"/>
        </w:rPr>
        <w:t>），</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lang w:val="en-US" w:eastAsia="en-US"/>
        </w:rPr>
        <w:t>有权向上级政府采购管理部门申请取消</w:t>
      </w:r>
      <w:r>
        <w:rPr>
          <w:rFonts w:hint="eastAsia" w:ascii="宋体" w:hAnsi="宋体" w:eastAsia="宋体" w:cs="宋体"/>
          <w:sz w:val="21"/>
          <w:szCs w:val="21"/>
          <w:highlight w:val="none"/>
          <w:lang w:val="en-US" w:eastAsia="zh-CN"/>
        </w:rPr>
        <w:t>乙方成交</w:t>
      </w:r>
      <w:r>
        <w:rPr>
          <w:rFonts w:hint="eastAsia" w:ascii="宋体" w:hAnsi="宋体" w:eastAsia="宋体" w:cs="宋体"/>
          <w:sz w:val="21"/>
          <w:szCs w:val="21"/>
          <w:highlight w:val="none"/>
          <w:lang w:val="en-US" w:eastAsia="en-US"/>
        </w:rPr>
        <w:t>资格或解除合同，</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lang w:val="en-US" w:eastAsia="en-US"/>
        </w:rPr>
        <w:t>应在</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lang w:val="en-US" w:eastAsia="en-US"/>
        </w:rPr>
        <w:t>解除合同之日起7个工作日内返还</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lang w:val="en-US" w:eastAsia="en-US"/>
        </w:rPr>
        <w:t>所支付全部款项，并按合同总价款的20%向</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lang w:val="en-US" w:eastAsia="en-US"/>
        </w:rPr>
        <w:t>支付违约金。</w:t>
      </w:r>
    </w:p>
    <w:p w14:paraId="0E710958">
      <w:pPr>
        <w:pageBreakBefore w:val="0"/>
        <w:wordWrap/>
        <w:overflowPunct/>
        <w:topLinePunct w:val="0"/>
        <w:bidi w:val="0"/>
        <w:snapToGrid w:val="0"/>
        <w:spacing w:line="360"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sz w:val="21"/>
          <w:szCs w:val="21"/>
          <w:highlight w:val="none"/>
          <w:lang w:val="en-US" w:eastAsia="zh-CN"/>
        </w:rPr>
        <w:t>十、监督和管理</w:t>
      </w:r>
    </w:p>
    <w:p w14:paraId="5C6DC741">
      <w:pPr>
        <w:pageBreakBefore w:val="0"/>
        <w:wordWrap/>
        <w:overflowPunct/>
        <w:topLinePunct w:val="0"/>
        <w:bidi w:val="0"/>
        <w:snapToGrid w:val="0"/>
        <w:spacing w:line="360" w:lineRule="auto"/>
        <w:ind w:left="0" w:leftChars="0" w:firstLine="441" w:firstLineChars="20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1.政府采购合同履行中，甲方需追加与合同标的相同服务的，在不改变合同其他条款的前提下，可以与乙方协商签订补充合同，但所有补充合同的采购金额不得超过原合同采购金额的百分之十。</w:t>
      </w:r>
    </w:p>
    <w:p w14:paraId="46A5C409">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2.甲乙双方均应自觉配合有关监督管理部门对合同履行情况的监督检查，如实反映情况，提供有关资料；否则，将对有关单位、当事人按照有关规定予以处罚。</w:t>
      </w:r>
    </w:p>
    <w:p w14:paraId="593664F8">
      <w:pPr>
        <w:pageBreakBefore w:val="0"/>
        <w:wordWrap/>
        <w:overflowPunct/>
        <w:topLinePunct w:val="0"/>
        <w:bidi w:val="0"/>
        <w:snapToGrid w:val="0"/>
        <w:spacing w:line="360" w:lineRule="auto"/>
        <w:rPr>
          <w:rFonts w:hint="eastAsia" w:ascii="宋体" w:hAnsi="宋体" w:eastAsia="宋体" w:cs="宋体"/>
          <w:b/>
          <w:bCs/>
          <w:sz w:val="21"/>
          <w:szCs w:val="21"/>
          <w:highlight w:val="none"/>
          <w:lang w:val="en-US" w:eastAsia="zh-CN"/>
        </w:rPr>
      </w:pPr>
      <w:r>
        <w:rPr>
          <w:rFonts w:hint="eastAsia" w:cs="宋体"/>
          <w:b/>
          <w:bCs/>
          <w:sz w:val="21"/>
          <w:szCs w:val="21"/>
          <w:highlight w:val="none"/>
          <w:lang w:val="en-US" w:eastAsia="zh-CN"/>
        </w:rPr>
        <w:t>十一、</w:t>
      </w:r>
      <w:r>
        <w:rPr>
          <w:rFonts w:hint="eastAsia" w:ascii="宋体" w:hAnsi="宋体" w:eastAsia="宋体" w:cs="宋体"/>
          <w:b/>
          <w:bCs/>
          <w:sz w:val="21"/>
          <w:szCs w:val="21"/>
          <w:highlight w:val="none"/>
          <w:lang w:val="en-US" w:eastAsia="zh-CN"/>
        </w:rPr>
        <w:t>解决合同纠纷的方式</w:t>
      </w:r>
    </w:p>
    <w:p w14:paraId="78DC432D">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cs="宋体"/>
          <w:sz w:val="21"/>
          <w:szCs w:val="21"/>
          <w:highlight w:val="none"/>
          <w:lang w:val="en-US" w:eastAsia="zh-CN"/>
        </w:rPr>
        <w:t>.</w:t>
      </w:r>
      <w:r>
        <w:rPr>
          <w:rFonts w:hint="eastAsia" w:ascii="宋体" w:hAnsi="宋体" w:eastAsia="宋体" w:cs="宋体"/>
          <w:sz w:val="21"/>
          <w:szCs w:val="21"/>
          <w:highlight w:val="none"/>
        </w:rPr>
        <w:t>在执行本合同中发生的或与本合同有关的争端，双方应通过友好协商解决，经协商不能达成协议时，则采取以下第</w:t>
      </w:r>
      <w:r>
        <w:rPr>
          <w:rFonts w:hint="eastAsia" w:ascii="宋体" w:hAnsi="宋体" w:eastAsia="宋体" w:cs="宋体"/>
          <w:sz w:val="21"/>
          <w:szCs w:val="21"/>
          <w:highlight w:val="none"/>
          <w:u w:val="single"/>
        </w:rPr>
        <w:t xml:space="preserve"> 1 </w:t>
      </w:r>
      <w:r>
        <w:rPr>
          <w:rFonts w:hint="eastAsia" w:ascii="宋体" w:hAnsi="宋体" w:eastAsia="宋体" w:cs="宋体"/>
          <w:sz w:val="21"/>
          <w:szCs w:val="21"/>
          <w:highlight w:val="none"/>
        </w:rPr>
        <w:t>种方式解决争议：</w:t>
      </w:r>
    </w:p>
    <w:p w14:paraId="57209112">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（1）向甲方所在地有管辖权的人民法院提起诉讼；</w:t>
      </w:r>
    </w:p>
    <w:p w14:paraId="4FFE1EC1">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（2）向</w:t>
      </w:r>
      <w:r>
        <w:rPr>
          <w:rFonts w:hint="eastAsia" w:cs="宋体"/>
          <w:sz w:val="21"/>
          <w:szCs w:val="21"/>
          <w:highlight w:val="none"/>
          <w:u w:val="single"/>
          <w:lang w:val="en-US" w:eastAsia="zh-CN"/>
        </w:rPr>
        <w:t>西安</w:t>
      </w:r>
      <w:r>
        <w:rPr>
          <w:rFonts w:hint="eastAsia" w:ascii="宋体" w:hAnsi="宋体" w:eastAsia="宋体" w:cs="宋体"/>
          <w:sz w:val="21"/>
          <w:szCs w:val="21"/>
          <w:highlight w:val="none"/>
        </w:rPr>
        <w:t>仲裁委员会按其仲裁规则申请仲裁。</w:t>
      </w:r>
    </w:p>
    <w:p w14:paraId="5D1220D9">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cs="宋体"/>
          <w:sz w:val="21"/>
          <w:szCs w:val="21"/>
          <w:highlight w:val="none"/>
          <w:lang w:val="en-US" w:eastAsia="zh-CN"/>
        </w:rPr>
        <w:t>.</w:t>
      </w:r>
      <w:r>
        <w:rPr>
          <w:rFonts w:hint="eastAsia" w:ascii="宋体" w:hAnsi="宋体" w:eastAsia="宋体" w:cs="宋体"/>
          <w:sz w:val="21"/>
          <w:szCs w:val="21"/>
          <w:highlight w:val="none"/>
        </w:rPr>
        <w:t>在仲裁期间，本合同应继续履行。</w:t>
      </w:r>
    </w:p>
    <w:p w14:paraId="5DF0C8BF">
      <w:pPr>
        <w:pageBreakBefore w:val="0"/>
        <w:tabs>
          <w:tab w:val="left" w:pos="498"/>
        </w:tabs>
        <w:wordWrap/>
        <w:overflowPunct/>
        <w:topLinePunct w:val="0"/>
        <w:bidi w:val="0"/>
        <w:snapToGrid w:val="0"/>
        <w:spacing w:line="360" w:lineRule="auto"/>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十二、</w:t>
      </w:r>
      <w:r>
        <w:rPr>
          <w:rFonts w:hint="eastAsia" w:ascii="宋体" w:hAnsi="宋体" w:eastAsia="宋体" w:cs="宋体"/>
          <w:b/>
          <w:bCs/>
          <w:sz w:val="21"/>
          <w:szCs w:val="21"/>
          <w:highlight w:val="none"/>
        </w:rPr>
        <w:t>合同订立</w:t>
      </w:r>
    </w:p>
    <w:p w14:paraId="3CEA898B">
      <w:pPr>
        <w:pageBreakBefore w:val="0"/>
        <w:tabs>
          <w:tab w:val="left" w:pos="980"/>
        </w:tabs>
        <w:kinsoku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合同经双方签字并加盖单位公章后生效；</w:t>
      </w:r>
    </w:p>
    <w:p w14:paraId="31F18584">
      <w:pPr>
        <w:pageBreakBefore w:val="0"/>
        <w:tabs>
          <w:tab w:val="left" w:pos="980"/>
        </w:tabs>
        <w:kinsoku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本合同一式</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份，自双方签章之日起起效</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甲乙双方各</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en-US" w:eastAsia="zh-CN"/>
        </w:rPr>
        <w:t>份</w:t>
      </w:r>
      <w:r>
        <w:rPr>
          <w:rFonts w:hint="eastAsia" w:ascii="宋体" w:hAnsi="宋体" w:eastAsia="宋体" w:cs="宋体"/>
          <w:sz w:val="21"/>
          <w:szCs w:val="21"/>
          <w:highlight w:val="none"/>
          <w:lang w:eastAsia="zh-CN"/>
        </w:rPr>
        <w:t>。</w:t>
      </w:r>
    </w:p>
    <w:p w14:paraId="6EE2A87A">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p>
    <w:p w14:paraId="55C906C4">
      <w:pPr>
        <w:pageBreakBefore w:val="0"/>
        <w:kinsoku/>
        <w:wordWrap/>
        <w:overflowPunct/>
        <w:topLinePunct w:val="0"/>
        <w:autoSpaceDE/>
        <w:autoSpaceDN/>
        <w:bidi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（以下无正文）</w:t>
      </w:r>
    </w:p>
    <w:p w14:paraId="34CBD74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highlight w:val="none"/>
          <w:lang w:eastAsia="zh-CN"/>
        </w:rPr>
      </w:pPr>
      <w:r>
        <w:rPr>
          <w:rFonts w:hint="eastAsia" w:ascii="宋体" w:hAnsi="宋体" w:eastAsia="宋体" w:cs="宋体"/>
          <w:snapToGrid w:val="0"/>
          <w:spacing w:val="0"/>
          <w:sz w:val="21"/>
          <w:szCs w:val="21"/>
          <w:highlight w:val="none"/>
          <w:lang w:eastAsia="zh-CN"/>
        </w:rPr>
        <w:br w:type="page"/>
      </w:r>
    </w:p>
    <w:p w14:paraId="456A2083">
      <w:pPr>
        <w:rPr>
          <w:rFonts w:hint="eastAsia"/>
          <w:highlight w:val="none"/>
          <w:lang w:eastAsia="zh-CN"/>
        </w:rPr>
      </w:pPr>
    </w:p>
    <w:tbl>
      <w:tblPr>
        <w:tblStyle w:val="6"/>
        <w:tblW w:w="0" w:type="auto"/>
        <w:jc w:val="center"/>
        <w:tblLayout w:type="fixed"/>
        <w:tblCellMar>
          <w:top w:w="0" w:type="dxa"/>
          <w:left w:w="108" w:type="dxa"/>
          <w:bottom w:w="0" w:type="dxa"/>
          <w:right w:w="108" w:type="dxa"/>
        </w:tblCellMar>
      </w:tblPr>
      <w:tblGrid>
        <w:gridCol w:w="4446"/>
        <w:gridCol w:w="4113"/>
      </w:tblGrid>
      <w:tr w14:paraId="1574CB55">
        <w:tblPrEx>
          <w:tblCellMar>
            <w:top w:w="0" w:type="dxa"/>
            <w:left w:w="108" w:type="dxa"/>
            <w:bottom w:w="0" w:type="dxa"/>
            <w:right w:w="108" w:type="dxa"/>
          </w:tblCellMar>
        </w:tblPrEx>
        <w:trPr>
          <w:trHeight w:val="497" w:hRule="exact"/>
          <w:jc w:val="center"/>
        </w:trPr>
        <w:tc>
          <w:tcPr>
            <w:tcW w:w="4446" w:type="dxa"/>
            <w:noWrap w:val="0"/>
            <w:vAlign w:val="center"/>
          </w:tcPr>
          <w:p w14:paraId="13DACE3B">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甲  方</w:t>
            </w:r>
          </w:p>
        </w:tc>
        <w:tc>
          <w:tcPr>
            <w:tcW w:w="4113" w:type="dxa"/>
            <w:noWrap w:val="0"/>
            <w:vAlign w:val="center"/>
          </w:tcPr>
          <w:p w14:paraId="474EE9FC">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乙  方</w:t>
            </w:r>
          </w:p>
        </w:tc>
      </w:tr>
      <w:tr w14:paraId="4FDB6A08">
        <w:tblPrEx>
          <w:tblCellMar>
            <w:top w:w="0" w:type="dxa"/>
            <w:left w:w="108" w:type="dxa"/>
            <w:bottom w:w="0" w:type="dxa"/>
            <w:right w:w="108" w:type="dxa"/>
          </w:tblCellMar>
        </w:tblPrEx>
        <w:trPr>
          <w:trHeight w:val="497" w:hRule="exact"/>
          <w:jc w:val="center"/>
        </w:trPr>
        <w:tc>
          <w:tcPr>
            <w:tcW w:w="4446" w:type="dxa"/>
            <w:noWrap w:val="0"/>
            <w:vAlign w:val="center"/>
          </w:tcPr>
          <w:p w14:paraId="300999D8">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（盖章）</w:t>
            </w:r>
          </w:p>
        </w:tc>
        <w:tc>
          <w:tcPr>
            <w:tcW w:w="4113" w:type="dxa"/>
            <w:noWrap w:val="0"/>
            <w:vAlign w:val="center"/>
          </w:tcPr>
          <w:p w14:paraId="7CFD94F2">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（盖章）</w:t>
            </w:r>
          </w:p>
        </w:tc>
      </w:tr>
      <w:tr w14:paraId="72BBA188">
        <w:tblPrEx>
          <w:tblCellMar>
            <w:top w:w="0" w:type="dxa"/>
            <w:left w:w="108" w:type="dxa"/>
            <w:bottom w:w="0" w:type="dxa"/>
            <w:right w:w="108" w:type="dxa"/>
          </w:tblCellMar>
        </w:tblPrEx>
        <w:trPr>
          <w:trHeight w:val="497" w:hRule="exact"/>
          <w:jc w:val="center"/>
        </w:trPr>
        <w:tc>
          <w:tcPr>
            <w:tcW w:w="4446" w:type="dxa"/>
            <w:noWrap w:val="0"/>
            <w:vAlign w:val="center"/>
          </w:tcPr>
          <w:p w14:paraId="69062242">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地址： </w:t>
            </w:r>
          </w:p>
        </w:tc>
        <w:tc>
          <w:tcPr>
            <w:tcW w:w="4113" w:type="dxa"/>
            <w:noWrap w:val="0"/>
            <w:vAlign w:val="center"/>
          </w:tcPr>
          <w:p w14:paraId="44C3C88F">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r>
      <w:tr w14:paraId="56789B3F">
        <w:tblPrEx>
          <w:tblCellMar>
            <w:top w:w="0" w:type="dxa"/>
            <w:left w:w="108" w:type="dxa"/>
            <w:bottom w:w="0" w:type="dxa"/>
            <w:right w:w="108" w:type="dxa"/>
          </w:tblCellMar>
        </w:tblPrEx>
        <w:trPr>
          <w:trHeight w:val="497" w:hRule="exact"/>
          <w:jc w:val="center"/>
        </w:trPr>
        <w:tc>
          <w:tcPr>
            <w:tcW w:w="4446" w:type="dxa"/>
            <w:noWrap w:val="0"/>
            <w:vAlign w:val="center"/>
          </w:tcPr>
          <w:p w14:paraId="0CF1E791">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邮编：</w:t>
            </w:r>
          </w:p>
        </w:tc>
        <w:tc>
          <w:tcPr>
            <w:tcW w:w="4113" w:type="dxa"/>
            <w:noWrap w:val="0"/>
            <w:vAlign w:val="center"/>
          </w:tcPr>
          <w:p w14:paraId="40B80688">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邮编：</w:t>
            </w:r>
          </w:p>
        </w:tc>
      </w:tr>
      <w:tr w14:paraId="630291DD">
        <w:tblPrEx>
          <w:tblCellMar>
            <w:top w:w="0" w:type="dxa"/>
            <w:left w:w="108" w:type="dxa"/>
            <w:bottom w:w="0" w:type="dxa"/>
            <w:right w:w="108" w:type="dxa"/>
          </w:tblCellMar>
        </w:tblPrEx>
        <w:trPr>
          <w:trHeight w:val="497" w:hRule="exact"/>
          <w:jc w:val="center"/>
        </w:trPr>
        <w:tc>
          <w:tcPr>
            <w:tcW w:w="4446" w:type="dxa"/>
            <w:noWrap w:val="0"/>
            <w:vAlign w:val="center"/>
          </w:tcPr>
          <w:p w14:paraId="7C247A05">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w:t>
            </w:r>
          </w:p>
        </w:tc>
        <w:tc>
          <w:tcPr>
            <w:tcW w:w="4113" w:type="dxa"/>
            <w:noWrap w:val="0"/>
            <w:vAlign w:val="center"/>
          </w:tcPr>
          <w:p w14:paraId="53C6018C">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r>
      <w:tr w14:paraId="51A8A85E">
        <w:tblPrEx>
          <w:tblCellMar>
            <w:top w:w="0" w:type="dxa"/>
            <w:left w:w="108" w:type="dxa"/>
            <w:bottom w:w="0" w:type="dxa"/>
            <w:right w:w="108" w:type="dxa"/>
          </w:tblCellMar>
        </w:tblPrEx>
        <w:trPr>
          <w:trHeight w:val="497" w:hRule="exact"/>
          <w:jc w:val="center"/>
        </w:trPr>
        <w:tc>
          <w:tcPr>
            <w:tcW w:w="4446" w:type="dxa"/>
            <w:noWrap w:val="0"/>
            <w:vAlign w:val="center"/>
          </w:tcPr>
          <w:p w14:paraId="1DA0136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被授权代表：</w:t>
            </w:r>
          </w:p>
        </w:tc>
        <w:tc>
          <w:tcPr>
            <w:tcW w:w="4113" w:type="dxa"/>
            <w:noWrap w:val="0"/>
            <w:vAlign w:val="center"/>
          </w:tcPr>
          <w:p w14:paraId="587BADEF">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被授权代表：</w:t>
            </w:r>
          </w:p>
        </w:tc>
      </w:tr>
      <w:tr w14:paraId="533A1A4E">
        <w:tblPrEx>
          <w:tblCellMar>
            <w:top w:w="0" w:type="dxa"/>
            <w:left w:w="108" w:type="dxa"/>
            <w:bottom w:w="0" w:type="dxa"/>
            <w:right w:w="108" w:type="dxa"/>
          </w:tblCellMar>
        </w:tblPrEx>
        <w:trPr>
          <w:trHeight w:val="497" w:hRule="exact"/>
          <w:jc w:val="center"/>
        </w:trPr>
        <w:tc>
          <w:tcPr>
            <w:tcW w:w="4446" w:type="dxa"/>
            <w:noWrap w:val="0"/>
            <w:vAlign w:val="center"/>
          </w:tcPr>
          <w:p w14:paraId="64FFEB28">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4113" w:type="dxa"/>
            <w:noWrap w:val="0"/>
            <w:vAlign w:val="center"/>
          </w:tcPr>
          <w:p w14:paraId="40EE2618">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r>
      <w:tr w14:paraId="4D251664">
        <w:tblPrEx>
          <w:tblCellMar>
            <w:top w:w="0" w:type="dxa"/>
            <w:left w:w="108" w:type="dxa"/>
            <w:bottom w:w="0" w:type="dxa"/>
            <w:right w:w="108" w:type="dxa"/>
          </w:tblCellMar>
        </w:tblPrEx>
        <w:trPr>
          <w:trHeight w:val="497" w:hRule="exact"/>
          <w:jc w:val="center"/>
        </w:trPr>
        <w:tc>
          <w:tcPr>
            <w:tcW w:w="4446" w:type="dxa"/>
            <w:noWrap w:val="0"/>
            <w:vAlign w:val="center"/>
          </w:tcPr>
          <w:p w14:paraId="79FB5B57">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4113" w:type="dxa"/>
            <w:noWrap w:val="0"/>
            <w:vAlign w:val="center"/>
          </w:tcPr>
          <w:p w14:paraId="2B4714D2">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r>
      <w:tr w14:paraId="71C68D6D">
        <w:tblPrEx>
          <w:tblCellMar>
            <w:top w:w="0" w:type="dxa"/>
            <w:left w:w="108" w:type="dxa"/>
            <w:bottom w:w="0" w:type="dxa"/>
            <w:right w:w="108" w:type="dxa"/>
          </w:tblCellMar>
        </w:tblPrEx>
        <w:trPr>
          <w:trHeight w:val="497" w:hRule="exact"/>
          <w:jc w:val="center"/>
        </w:trPr>
        <w:tc>
          <w:tcPr>
            <w:tcW w:w="4446" w:type="dxa"/>
            <w:noWrap w:val="0"/>
            <w:vAlign w:val="center"/>
          </w:tcPr>
          <w:p w14:paraId="0BD761F2">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4113" w:type="dxa"/>
            <w:noWrap w:val="0"/>
            <w:vAlign w:val="center"/>
          </w:tcPr>
          <w:p w14:paraId="473C7127">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r>
      <w:tr w14:paraId="289F9728">
        <w:tblPrEx>
          <w:tblCellMar>
            <w:top w:w="0" w:type="dxa"/>
            <w:left w:w="108" w:type="dxa"/>
            <w:bottom w:w="0" w:type="dxa"/>
            <w:right w:w="108" w:type="dxa"/>
          </w:tblCellMar>
        </w:tblPrEx>
        <w:trPr>
          <w:trHeight w:val="497" w:hRule="exact"/>
          <w:jc w:val="center"/>
        </w:trPr>
        <w:tc>
          <w:tcPr>
            <w:tcW w:w="4446" w:type="dxa"/>
            <w:noWrap w:val="0"/>
            <w:vAlign w:val="center"/>
          </w:tcPr>
          <w:p w14:paraId="4785B1BE">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p>
        </w:tc>
        <w:tc>
          <w:tcPr>
            <w:tcW w:w="4113" w:type="dxa"/>
            <w:noWrap w:val="0"/>
            <w:vAlign w:val="center"/>
          </w:tcPr>
          <w:p w14:paraId="348DE3B5">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p>
        </w:tc>
      </w:tr>
    </w:tbl>
    <w:p w14:paraId="35CD6D4C">
      <w:pPr>
        <w:keepNext w:val="0"/>
        <w:keepLines w:val="0"/>
        <w:pageBreakBefore w:val="0"/>
        <w:wordWrap/>
        <w:overflowPunct/>
        <w:topLinePunct w:val="0"/>
        <w:bidi w:val="0"/>
        <w:snapToGrid w:val="0"/>
        <w:spacing w:line="360" w:lineRule="auto"/>
        <w:rPr>
          <w:rFonts w:hint="eastAsia" w:cs="宋体"/>
          <w:sz w:val="21"/>
          <w:szCs w:val="21"/>
          <w:highlight w:val="none"/>
          <w:lang w:val="en-US" w:eastAsia="zh-CN"/>
        </w:rPr>
      </w:pPr>
      <w:r>
        <w:rPr>
          <w:rFonts w:hint="eastAsia" w:ascii="宋体" w:hAnsi="宋体" w:eastAsia="宋体" w:cs="宋体"/>
          <w:sz w:val="21"/>
          <w:szCs w:val="21"/>
          <w:highlight w:val="none"/>
          <w:lang w:val="en-US" w:eastAsia="zh-Hans"/>
        </w:rPr>
        <w:br w:type="page"/>
      </w:r>
      <w:r>
        <w:rPr>
          <w:rFonts w:hint="eastAsia" w:cs="宋体"/>
          <w:sz w:val="21"/>
          <w:szCs w:val="21"/>
          <w:highlight w:val="none"/>
          <w:lang w:val="en-US" w:eastAsia="zh-CN"/>
        </w:rPr>
        <w:t>附件1：</w:t>
      </w:r>
    </w:p>
    <w:p w14:paraId="1695C86A">
      <w:pPr>
        <w:jc w:val="center"/>
        <w:rPr>
          <w:rFonts w:hint="eastAsia" w:ascii="宋体" w:hAnsi="宋体" w:eastAsia="宋体" w:cs="宋体"/>
          <w:b/>
          <w:bCs/>
          <w:spacing w:val="-3"/>
          <w:sz w:val="24"/>
          <w:szCs w:val="24"/>
          <w:highlight w:val="none"/>
        </w:rPr>
      </w:pPr>
      <w:r>
        <w:rPr>
          <w:rFonts w:hint="eastAsia" w:ascii="宋体" w:hAnsi="宋体" w:eastAsia="宋体" w:cs="宋体"/>
          <w:b/>
          <w:bCs/>
          <w:spacing w:val="-3"/>
          <w:sz w:val="24"/>
          <w:szCs w:val="24"/>
          <w:highlight w:val="none"/>
        </w:rPr>
        <w:t>维保服务考核打分表</w:t>
      </w:r>
    </w:p>
    <w:tbl>
      <w:tblPr>
        <w:tblStyle w:val="6"/>
        <w:tblW w:w="5175"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17"/>
        <w:gridCol w:w="1025"/>
        <w:gridCol w:w="1130"/>
        <w:gridCol w:w="3489"/>
        <w:gridCol w:w="2652"/>
        <w:gridCol w:w="649"/>
        <w:gridCol w:w="649"/>
      </w:tblGrid>
      <w:tr w14:paraId="7F6D48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25" w:hRule="atLeast"/>
          <w:jc w:val="center"/>
        </w:trPr>
        <w:tc>
          <w:tcPr>
            <w:tcW w:w="347" w:type="pct"/>
            <w:tcBorders>
              <w:tl2br w:val="nil"/>
              <w:tr2bl w:val="nil"/>
            </w:tcBorders>
            <w:shd w:val="clear" w:color="auto" w:fill="FFFFFF"/>
            <w:noWrap w:val="0"/>
            <w:vAlign w:val="center"/>
          </w:tcPr>
          <w:p w14:paraId="3555C61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序号</w:t>
            </w:r>
          </w:p>
        </w:tc>
        <w:tc>
          <w:tcPr>
            <w:tcW w:w="497" w:type="pct"/>
            <w:tcBorders>
              <w:tl2br w:val="nil"/>
              <w:tr2bl w:val="nil"/>
            </w:tcBorders>
            <w:shd w:val="clear" w:color="auto" w:fill="FFFFFF"/>
            <w:noWrap w:val="0"/>
            <w:vAlign w:val="center"/>
          </w:tcPr>
          <w:p w14:paraId="4CFE46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项别</w:t>
            </w:r>
          </w:p>
        </w:tc>
        <w:tc>
          <w:tcPr>
            <w:tcW w:w="547" w:type="pct"/>
            <w:tcBorders>
              <w:tl2br w:val="nil"/>
              <w:tr2bl w:val="nil"/>
            </w:tcBorders>
            <w:shd w:val="clear" w:color="auto" w:fill="FFFFFF"/>
            <w:noWrap w:val="0"/>
            <w:vAlign w:val="center"/>
          </w:tcPr>
          <w:p w14:paraId="018D79F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考核内容</w:t>
            </w:r>
          </w:p>
        </w:tc>
        <w:tc>
          <w:tcPr>
            <w:tcW w:w="1691" w:type="pct"/>
            <w:tcBorders>
              <w:tl2br w:val="nil"/>
              <w:tr2bl w:val="nil"/>
            </w:tcBorders>
            <w:shd w:val="clear" w:color="auto" w:fill="FFFFFF"/>
            <w:noWrap w:val="0"/>
            <w:vAlign w:val="center"/>
          </w:tcPr>
          <w:p w14:paraId="5410F6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具体要求</w:t>
            </w:r>
          </w:p>
        </w:tc>
        <w:tc>
          <w:tcPr>
            <w:tcW w:w="1286" w:type="pct"/>
            <w:tcBorders>
              <w:tl2br w:val="nil"/>
              <w:tr2bl w:val="nil"/>
            </w:tcBorders>
            <w:shd w:val="clear" w:color="auto" w:fill="FFFFFF"/>
            <w:noWrap w:val="0"/>
            <w:vAlign w:val="center"/>
          </w:tcPr>
          <w:p w14:paraId="1CA6CFB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扣分标准</w:t>
            </w:r>
          </w:p>
        </w:tc>
        <w:tc>
          <w:tcPr>
            <w:tcW w:w="314" w:type="pct"/>
            <w:tcBorders>
              <w:tl2br w:val="nil"/>
              <w:tr2bl w:val="nil"/>
            </w:tcBorders>
            <w:shd w:val="clear" w:color="auto" w:fill="FFFFFF"/>
            <w:noWrap w:val="0"/>
            <w:vAlign w:val="center"/>
          </w:tcPr>
          <w:p w14:paraId="323A4CF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分值</w:t>
            </w:r>
          </w:p>
        </w:tc>
        <w:tc>
          <w:tcPr>
            <w:tcW w:w="314" w:type="pct"/>
            <w:tcBorders>
              <w:tl2br w:val="nil"/>
              <w:tr2bl w:val="nil"/>
            </w:tcBorders>
            <w:shd w:val="clear" w:color="auto" w:fill="FFFFFF"/>
            <w:noWrap w:val="0"/>
            <w:vAlign w:val="center"/>
          </w:tcPr>
          <w:p w14:paraId="10CEE7E0">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得分</w:t>
            </w:r>
          </w:p>
        </w:tc>
      </w:tr>
      <w:tr w14:paraId="5432E8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51" w:hRule="atLeast"/>
          <w:jc w:val="center"/>
        </w:trPr>
        <w:tc>
          <w:tcPr>
            <w:tcW w:w="347" w:type="pct"/>
            <w:tcBorders>
              <w:tl2br w:val="nil"/>
              <w:tr2bl w:val="nil"/>
            </w:tcBorders>
            <w:shd w:val="clear" w:color="auto" w:fill="FFFFFF"/>
            <w:noWrap w:val="0"/>
            <w:vAlign w:val="center"/>
          </w:tcPr>
          <w:p w14:paraId="72233A4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497" w:type="pct"/>
            <w:tcBorders>
              <w:tl2br w:val="nil"/>
              <w:tr2bl w:val="nil"/>
            </w:tcBorders>
            <w:shd w:val="clear" w:color="auto" w:fill="FFFFFF"/>
            <w:noWrap w:val="0"/>
            <w:vAlign w:val="center"/>
          </w:tcPr>
          <w:p w14:paraId="20A9B44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日常服务及故障处理</w:t>
            </w:r>
          </w:p>
        </w:tc>
        <w:tc>
          <w:tcPr>
            <w:tcW w:w="547" w:type="pct"/>
            <w:tcBorders>
              <w:tl2br w:val="nil"/>
              <w:tr2bl w:val="nil"/>
            </w:tcBorders>
            <w:shd w:val="clear" w:color="auto" w:fill="FFFFFF"/>
            <w:noWrap w:val="0"/>
            <w:vAlign w:val="center"/>
          </w:tcPr>
          <w:p w14:paraId="17DBF3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响应及时性、处理有效性、过程规范性</w:t>
            </w:r>
          </w:p>
        </w:tc>
        <w:tc>
          <w:tcPr>
            <w:tcW w:w="1691" w:type="pct"/>
            <w:tcBorders>
              <w:tl2br w:val="nil"/>
              <w:tr2bl w:val="nil"/>
            </w:tcBorders>
            <w:shd w:val="clear" w:color="auto" w:fill="FFFFFF"/>
            <w:noWrap w:val="0"/>
            <w:vAlign w:val="center"/>
          </w:tcPr>
          <w:p w14:paraId="643A857E">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驻场服务期间硬件设备出现一般故障后，驻场人员30分钟内进行响应；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驻场服务期间之外出现一般故障时，自接到采购人到场通知后，驻场维保人员2小时内抵达现场。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故障诊断准确，能快速制定解决方案，一次性修复率高。故障处理完毕后，向甲方提交书面《故障处理报告》。</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 维修过程应高效，一般故障平均维修时间不超过2小时（复杂故障除外）。</w:t>
            </w:r>
          </w:p>
        </w:tc>
        <w:tc>
          <w:tcPr>
            <w:tcW w:w="1286" w:type="pct"/>
            <w:tcBorders>
              <w:tl2br w:val="nil"/>
              <w:tr2bl w:val="nil"/>
            </w:tcBorders>
            <w:shd w:val="clear" w:color="auto" w:fill="FFFFFF"/>
            <w:noWrap w:val="0"/>
            <w:vAlign w:val="center"/>
          </w:tcPr>
          <w:p w14:paraId="5155F06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响应超时，每次扣2分。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到场超时，每次扣3分。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未提交故障报告或报告敷衍，每次扣1分。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 因技术原因导致故障处理严重超时，扣5分。</w:t>
            </w:r>
          </w:p>
        </w:tc>
        <w:tc>
          <w:tcPr>
            <w:tcW w:w="314" w:type="pct"/>
            <w:tcBorders>
              <w:tl2br w:val="nil"/>
              <w:tr2bl w:val="nil"/>
            </w:tcBorders>
            <w:shd w:val="clear" w:color="auto" w:fill="FFFFFF"/>
            <w:noWrap w:val="0"/>
            <w:vAlign w:val="center"/>
          </w:tcPr>
          <w:p w14:paraId="3C2DA9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314" w:type="pct"/>
            <w:tcBorders>
              <w:tl2br w:val="nil"/>
              <w:tr2bl w:val="nil"/>
            </w:tcBorders>
            <w:shd w:val="clear" w:color="auto" w:fill="FFFFFF"/>
            <w:noWrap w:val="0"/>
            <w:vAlign w:val="center"/>
          </w:tcPr>
          <w:p w14:paraId="3CC2529E">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14:paraId="71F915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797" w:hRule="atLeast"/>
          <w:jc w:val="center"/>
        </w:trPr>
        <w:tc>
          <w:tcPr>
            <w:tcW w:w="347" w:type="pct"/>
            <w:vMerge w:val="restart"/>
            <w:tcBorders>
              <w:tl2br w:val="nil"/>
              <w:tr2bl w:val="nil"/>
            </w:tcBorders>
            <w:shd w:val="clear" w:color="auto" w:fill="FFFFFF"/>
            <w:noWrap w:val="0"/>
            <w:vAlign w:val="center"/>
          </w:tcPr>
          <w:p w14:paraId="0FC778D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497" w:type="pct"/>
            <w:vMerge w:val="restart"/>
            <w:tcBorders>
              <w:tl2br w:val="nil"/>
              <w:tr2bl w:val="nil"/>
            </w:tcBorders>
            <w:shd w:val="clear" w:color="auto" w:fill="FFFFFF"/>
            <w:noWrap w:val="0"/>
            <w:vAlign w:val="center"/>
          </w:tcPr>
          <w:p w14:paraId="6FC1DBA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应急保障</w:t>
            </w:r>
          </w:p>
        </w:tc>
        <w:tc>
          <w:tcPr>
            <w:tcW w:w="547" w:type="pct"/>
            <w:vMerge w:val="restart"/>
            <w:tcBorders>
              <w:tl2br w:val="nil"/>
              <w:tr2bl w:val="nil"/>
            </w:tcBorders>
            <w:shd w:val="clear" w:color="auto" w:fill="FFFFFF"/>
            <w:noWrap w:val="0"/>
            <w:vAlign w:val="center"/>
          </w:tcPr>
          <w:p w14:paraId="385666A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重大活动、突发事件的支持保障能力</w:t>
            </w:r>
          </w:p>
        </w:tc>
        <w:tc>
          <w:tcPr>
            <w:tcW w:w="1691" w:type="pct"/>
            <w:vMerge w:val="restart"/>
            <w:tcBorders>
              <w:tl2br w:val="nil"/>
              <w:tr2bl w:val="nil"/>
            </w:tcBorders>
            <w:shd w:val="clear" w:color="auto" w:fill="FFFFFF"/>
            <w:noWrap w:val="0"/>
            <w:vAlign w:val="center"/>
          </w:tcPr>
          <w:p w14:paraId="747FBB3E">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在甲方举办重大活动或发生突发事件时，能按需提供现场技术保障。</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保障期间，关键系统零故障，问题快速闭环。</w:t>
            </w:r>
          </w:p>
        </w:tc>
        <w:tc>
          <w:tcPr>
            <w:tcW w:w="1286" w:type="pct"/>
            <w:vMerge w:val="restart"/>
            <w:tcBorders>
              <w:tl2br w:val="nil"/>
              <w:tr2bl w:val="nil"/>
            </w:tcBorders>
            <w:shd w:val="clear" w:color="auto" w:fill="FFFFFF"/>
            <w:noWrap w:val="0"/>
            <w:vAlign w:val="center"/>
          </w:tcPr>
          <w:p w14:paraId="34FD339F">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无正当理由拒绝提供应急保障，扣5分。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保障期间出现严重问题且处置不力，扣2-5分。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保障人员不到位、联络不畅，扣3分。</w:t>
            </w:r>
          </w:p>
        </w:tc>
        <w:tc>
          <w:tcPr>
            <w:tcW w:w="314" w:type="pct"/>
            <w:vMerge w:val="restart"/>
            <w:tcBorders>
              <w:tl2br w:val="nil"/>
              <w:tr2bl w:val="nil"/>
            </w:tcBorders>
            <w:shd w:val="clear" w:color="auto" w:fill="FFFFFF"/>
            <w:noWrap w:val="0"/>
            <w:vAlign w:val="center"/>
          </w:tcPr>
          <w:p w14:paraId="7807E1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314" w:type="pct"/>
            <w:tcBorders>
              <w:tl2br w:val="nil"/>
              <w:tr2bl w:val="nil"/>
            </w:tcBorders>
            <w:shd w:val="clear" w:color="auto" w:fill="FFFFFF"/>
            <w:noWrap w:val="0"/>
            <w:vAlign w:val="center"/>
          </w:tcPr>
          <w:p w14:paraId="7898FEBE">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14:paraId="44314A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203" w:hRule="atLeast"/>
          <w:jc w:val="center"/>
        </w:trPr>
        <w:tc>
          <w:tcPr>
            <w:tcW w:w="347" w:type="pct"/>
            <w:vMerge w:val="restart"/>
            <w:tcBorders>
              <w:tl2br w:val="nil"/>
              <w:tr2bl w:val="nil"/>
            </w:tcBorders>
            <w:shd w:val="clear" w:color="auto" w:fill="FFFFFF"/>
            <w:noWrap w:val="0"/>
            <w:vAlign w:val="center"/>
          </w:tcPr>
          <w:p w14:paraId="272D9D6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497" w:type="pct"/>
            <w:vMerge w:val="restart"/>
            <w:tcBorders>
              <w:tl2br w:val="nil"/>
              <w:tr2bl w:val="nil"/>
            </w:tcBorders>
            <w:shd w:val="clear" w:color="auto" w:fill="FFFFFF"/>
            <w:noWrap w:val="0"/>
            <w:vAlign w:val="center"/>
          </w:tcPr>
          <w:p w14:paraId="73F388A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技术支援</w:t>
            </w:r>
          </w:p>
        </w:tc>
        <w:tc>
          <w:tcPr>
            <w:tcW w:w="547" w:type="pct"/>
            <w:vMerge w:val="restart"/>
            <w:tcBorders>
              <w:tl2br w:val="nil"/>
              <w:tr2bl w:val="nil"/>
            </w:tcBorders>
            <w:shd w:val="clear" w:color="auto" w:fill="FFFFFF"/>
            <w:noWrap w:val="0"/>
            <w:vAlign w:val="center"/>
          </w:tcPr>
          <w:p w14:paraId="1C48F7F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技术咨询、培训及优化建议</w:t>
            </w:r>
          </w:p>
        </w:tc>
        <w:tc>
          <w:tcPr>
            <w:tcW w:w="1691" w:type="pct"/>
            <w:vMerge w:val="restart"/>
            <w:tcBorders>
              <w:tl2br w:val="nil"/>
              <w:tr2bl w:val="nil"/>
            </w:tcBorders>
            <w:shd w:val="clear" w:color="auto" w:fill="FFFFFF"/>
            <w:noWrap w:val="0"/>
            <w:vAlign w:val="center"/>
          </w:tcPr>
          <w:p w14:paraId="733F8260">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免费提供日常技术咨询，解答准确、及时。</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能主动提出系统优化、升级改造等合理化建议。</w:t>
            </w:r>
          </w:p>
        </w:tc>
        <w:tc>
          <w:tcPr>
            <w:tcW w:w="1286" w:type="pct"/>
            <w:vMerge w:val="restart"/>
            <w:tcBorders>
              <w:tl2br w:val="nil"/>
              <w:tr2bl w:val="nil"/>
            </w:tcBorders>
            <w:shd w:val="clear" w:color="auto" w:fill="FFFFFF"/>
            <w:noWrap w:val="0"/>
            <w:vAlign w:val="center"/>
          </w:tcPr>
          <w:p w14:paraId="1551D62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技术咨询响应迟缓或解答错误，每次扣1分。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全年无任何建设性优化建议，扣3分。</w:t>
            </w:r>
          </w:p>
        </w:tc>
        <w:tc>
          <w:tcPr>
            <w:tcW w:w="314" w:type="pct"/>
            <w:vMerge w:val="restart"/>
            <w:tcBorders>
              <w:tl2br w:val="nil"/>
              <w:tr2bl w:val="nil"/>
            </w:tcBorders>
            <w:shd w:val="clear" w:color="auto" w:fill="FFFFFF"/>
            <w:noWrap w:val="0"/>
            <w:vAlign w:val="center"/>
          </w:tcPr>
          <w:p w14:paraId="58B2A78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314" w:type="pct"/>
            <w:tcBorders>
              <w:tl2br w:val="nil"/>
              <w:tr2bl w:val="nil"/>
            </w:tcBorders>
            <w:shd w:val="clear" w:color="auto" w:fill="FFFFFF"/>
            <w:noWrap w:val="0"/>
            <w:vAlign w:val="center"/>
          </w:tcPr>
          <w:p w14:paraId="0E771F31">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14:paraId="73C31C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703" w:hRule="atLeast"/>
          <w:jc w:val="center"/>
        </w:trPr>
        <w:tc>
          <w:tcPr>
            <w:tcW w:w="347" w:type="pct"/>
            <w:vMerge w:val="restart"/>
            <w:tcBorders>
              <w:tl2br w:val="nil"/>
              <w:tr2bl w:val="nil"/>
            </w:tcBorders>
            <w:shd w:val="clear" w:color="auto" w:fill="FFFFFF"/>
            <w:noWrap w:val="0"/>
            <w:vAlign w:val="center"/>
          </w:tcPr>
          <w:p w14:paraId="4794BD2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497" w:type="pct"/>
            <w:vMerge w:val="restart"/>
            <w:tcBorders>
              <w:tl2br w:val="nil"/>
              <w:tr2bl w:val="nil"/>
            </w:tcBorders>
            <w:shd w:val="clear" w:color="auto" w:fill="FFFFFF"/>
            <w:noWrap w:val="0"/>
            <w:vAlign w:val="center"/>
          </w:tcPr>
          <w:p w14:paraId="2F58AE6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系统巡检</w:t>
            </w:r>
          </w:p>
        </w:tc>
        <w:tc>
          <w:tcPr>
            <w:tcW w:w="547" w:type="pct"/>
            <w:vMerge w:val="restart"/>
            <w:tcBorders>
              <w:tl2br w:val="nil"/>
              <w:tr2bl w:val="nil"/>
            </w:tcBorders>
            <w:shd w:val="clear" w:color="auto" w:fill="FFFFFF"/>
            <w:noWrap w:val="0"/>
            <w:vAlign w:val="center"/>
          </w:tcPr>
          <w:p w14:paraId="2033312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定期巡检的计划性与执行质量</w:t>
            </w:r>
          </w:p>
        </w:tc>
        <w:tc>
          <w:tcPr>
            <w:tcW w:w="1691" w:type="pct"/>
            <w:vMerge w:val="restart"/>
            <w:tcBorders>
              <w:tl2br w:val="nil"/>
              <w:tr2bl w:val="nil"/>
            </w:tcBorders>
            <w:shd w:val="clear" w:color="auto" w:fill="FFFFFF"/>
            <w:noWrap w:val="0"/>
            <w:vAlign w:val="center"/>
          </w:tcPr>
          <w:p w14:paraId="1B0CE0B8">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制定并执行巡检计划，报甲方备案。</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巡检内容全面，涵盖前端摄像机、线路、后端设备、存储、软件平台等。</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巡检过程认真，能发现潜在隐患并记录。</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 巡检后提供详细的《系统巡检报告》。</w:t>
            </w:r>
          </w:p>
        </w:tc>
        <w:tc>
          <w:tcPr>
            <w:tcW w:w="1286" w:type="pct"/>
            <w:vMerge w:val="restart"/>
            <w:tcBorders>
              <w:tl2br w:val="nil"/>
              <w:tr2bl w:val="nil"/>
            </w:tcBorders>
            <w:shd w:val="clear" w:color="auto" w:fill="FFFFFF"/>
            <w:noWrap w:val="0"/>
            <w:vAlign w:val="center"/>
          </w:tcPr>
          <w:p w14:paraId="5876EF4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未按计划执行巡检，每次扣5分。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巡检漏项或走过场，每次扣3分。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巡检后短期内（如1月内）发生已巡检设备的可预见性故障，扣5分。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 未提交或延迟提交巡检报告，每次扣2分。</w:t>
            </w:r>
          </w:p>
        </w:tc>
        <w:tc>
          <w:tcPr>
            <w:tcW w:w="314" w:type="pct"/>
            <w:vMerge w:val="restart"/>
            <w:tcBorders>
              <w:tl2br w:val="nil"/>
              <w:tr2bl w:val="nil"/>
            </w:tcBorders>
            <w:shd w:val="clear" w:color="auto" w:fill="FFFFFF"/>
            <w:noWrap w:val="0"/>
            <w:vAlign w:val="center"/>
          </w:tcPr>
          <w:p w14:paraId="5BAB798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314" w:type="pct"/>
            <w:tcBorders>
              <w:tl2br w:val="nil"/>
              <w:tr2bl w:val="nil"/>
            </w:tcBorders>
            <w:shd w:val="clear" w:color="auto" w:fill="FFFFFF"/>
            <w:noWrap w:val="0"/>
            <w:vAlign w:val="center"/>
          </w:tcPr>
          <w:p w14:paraId="3420974D">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14:paraId="064513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12" w:hRule="atLeast"/>
          <w:jc w:val="center"/>
        </w:trPr>
        <w:tc>
          <w:tcPr>
            <w:tcW w:w="347" w:type="pct"/>
            <w:vMerge w:val="restart"/>
            <w:tcBorders>
              <w:tl2br w:val="nil"/>
              <w:tr2bl w:val="nil"/>
            </w:tcBorders>
            <w:shd w:val="clear" w:color="auto" w:fill="FFFFFF"/>
            <w:noWrap w:val="0"/>
            <w:vAlign w:val="center"/>
          </w:tcPr>
          <w:p w14:paraId="5F56655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497" w:type="pct"/>
            <w:vMerge w:val="restart"/>
            <w:tcBorders>
              <w:tl2br w:val="nil"/>
              <w:tr2bl w:val="nil"/>
            </w:tcBorders>
            <w:shd w:val="clear" w:color="auto" w:fill="FFFFFF"/>
            <w:noWrap w:val="0"/>
            <w:vAlign w:val="center"/>
          </w:tcPr>
          <w:p w14:paraId="6B35855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运维报告</w:t>
            </w:r>
          </w:p>
        </w:tc>
        <w:tc>
          <w:tcPr>
            <w:tcW w:w="547" w:type="pct"/>
            <w:vMerge w:val="restart"/>
            <w:tcBorders>
              <w:tl2br w:val="nil"/>
              <w:tr2bl w:val="nil"/>
            </w:tcBorders>
            <w:shd w:val="clear" w:color="auto" w:fill="FFFFFF"/>
            <w:noWrap w:val="0"/>
            <w:vAlign w:val="center"/>
          </w:tcPr>
          <w:p w14:paraId="170ADD2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报告提交的及时性、准确性与全面性</w:t>
            </w:r>
          </w:p>
        </w:tc>
        <w:tc>
          <w:tcPr>
            <w:tcW w:w="1691" w:type="pct"/>
            <w:vMerge w:val="restart"/>
            <w:tcBorders>
              <w:tl2br w:val="nil"/>
              <w:tr2bl w:val="nil"/>
            </w:tcBorders>
            <w:shd w:val="clear" w:color="auto" w:fill="FFFFFF"/>
            <w:noWrap w:val="0"/>
            <w:vAlign w:val="center"/>
          </w:tcPr>
          <w:p w14:paraId="00227DD0">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按期提交运维工作总结报告。</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报告数据详实，内容应包括：故障统计、处理分析、巡检记录、性能分析、工作小结及下阶段计划等。</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报告格式规范，图文并茂，便于甲方审阅。</w:t>
            </w:r>
          </w:p>
        </w:tc>
        <w:tc>
          <w:tcPr>
            <w:tcW w:w="1286" w:type="pct"/>
            <w:vMerge w:val="restart"/>
            <w:tcBorders>
              <w:tl2br w:val="nil"/>
              <w:tr2bl w:val="nil"/>
            </w:tcBorders>
            <w:shd w:val="clear" w:color="auto" w:fill="FFFFFF"/>
            <w:noWrap w:val="0"/>
            <w:vAlign w:val="center"/>
          </w:tcPr>
          <w:p w14:paraId="7FDC874D">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报告延迟提交，每次扣2分。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报告内容空洞、数据错误或缺失关键内容，每次扣3分。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无下阶段工作计划或计划不清晰，扣2分。</w:t>
            </w:r>
          </w:p>
        </w:tc>
        <w:tc>
          <w:tcPr>
            <w:tcW w:w="314" w:type="pct"/>
            <w:vMerge w:val="restart"/>
            <w:tcBorders>
              <w:tl2br w:val="nil"/>
              <w:tr2bl w:val="nil"/>
            </w:tcBorders>
            <w:shd w:val="clear" w:color="auto" w:fill="FFFFFF"/>
            <w:noWrap w:val="0"/>
            <w:vAlign w:val="center"/>
          </w:tcPr>
          <w:p w14:paraId="2519165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314" w:type="pct"/>
            <w:vMerge w:val="restart"/>
            <w:tcBorders>
              <w:tl2br w:val="nil"/>
              <w:tr2bl w:val="nil"/>
            </w:tcBorders>
            <w:shd w:val="clear" w:color="auto" w:fill="FFFFFF"/>
            <w:noWrap w:val="0"/>
            <w:vAlign w:val="center"/>
          </w:tcPr>
          <w:p w14:paraId="462DD9F8">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14:paraId="675132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25" w:hRule="atLeast"/>
          <w:jc w:val="center"/>
        </w:trPr>
        <w:tc>
          <w:tcPr>
            <w:tcW w:w="347" w:type="pct"/>
            <w:vMerge w:val="restart"/>
            <w:tcBorders>
              <w:tl2br w:val="nil"/>
              <w:tr2bl w:val="nil"/>
            </w:tcBorders>
            <w:shd w:val="clear" w:color="auto" w:fill="FFFFFF"/>
            <w:noWrap w:val="0"/>
            <w:vAlign w:val="center"/>
          </w:tcPr>
          <w:p w14:paraId="4E7F183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497" w:type="pct"/>
            <w:vMerge w:val="restart"/>
            <w:tcBorders>
              <w:tl2br w:val="nil"/>
              <w:tr2bl w:val="nil"/>
            </w:tcBorders>
            <w:shd w:val="clear" w:color="auto" w:fill="FFFFFF"/>
            <w:noWrap w:val="0"/>
            <w:vAlign w:val="center"/>
          </w:tcPr>
          <w:p w14:paraId="1C2D5A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文档管理</w:t>
            </w:r>
          </w:p>
        </w:tc>
        <w:tc>
          <w:tcPr>
            <w:tcW w:w="547" w:type="pct"/>
            <w:vMerge w:val="restart"/>
            <w:tcBorders>
              <w:tl2br w:val="nil"/>
              <w:tr2bl w:val="nil"/>
            </w:tcBorders>
            <w:shd w:val="clear" w:color="auto" w:fill="FFFFFF"/>
            <w:noWrap w:val="0"/>
            <w:vAlign w:val="center"/>
          </w:tcPr>
          <w:p w14:paraId="3995C8E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技术档案与记录的完整性</w:t>
            </w:r>
          </w:p>
        </w:tc>
        <w:tc>
          <w:tcPr>
            <w:tcW w:w="1691" w:type="pct"/>
            <w:vMerge w:val="restart"/>
            <w:tcBorders>
              <w:tl2br w:val="nil"/>
              <w:tr2bl w:val="nil"/>
            </w:tcBorders>
            <w:shd w:val="clear" w:color="auto" w:fill="FFFFFF"/>
            <w:noWrap w:val="0"/>
            <w:vAlign w:val="center"/>
          </w:tcPr>
          <w:p w14:paraId="253F7566">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建立并动态更新完善的运维技术档案，包括：</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系统拓扑图、设备清单</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设备配置参数</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维修、巡检、变更记录</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培训资料等</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所有文档电子版和纸质版管理有序，便于查阅。</w:t>
            </w:r>
          </w:p>
        </w:tc>
        <w:tc>
          <w:tcPr>
            <w:tcW w:w="1286" w:type="pct"/>
            <w:vMerge w:val="restart"/>
            <w:tcBorders>
              <w:tl2br w:val="nil"/>
              <w:tr2bl w:val="nil"/>
            </w:tcBorders>
            <w:shd w:val="clear" w:color="auto" w:fill="FFFFFF"/>
            <w:noWrap w:val="0"/>
            <w:vAlign w:val="center"/>
          </w:tcPr>
          <w:p w14:paraId="6CCAC91F">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技术档案缺失、陈旧或与现状严重不符，扣5分。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维修、巡检记录不完整，每次扣1分。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文档管理混乱，查阅困难，扣3分。</w:t>
            </w:r>
          </w:p>
        </w:tc>
        <w:tc>
          <w:tcPr>
            <w:tcW w:w="314" w:type="pct"/>
            <w:vMerge w:val="restart"/>
            <w:tcBorders>
              <w:tl2br w:val="nil"/>
              <w:tr2bl w:val="nil"/>
            </w:tcBorders>
            <w:shd w:val="clear" w:color="auto" w:fill="FFFFFF"/>
            <w:noWrap w:val="0"/>
            <w:vAlign w:val="center"/>
          </w:tcPr>
          <w:p w14:paraId="612A3EE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314" w:type="pct"/>
            <w:vMerge w:val="continue"/>
            <w:tcBorders>
              <w:tl2br w:val="nil"/>
              <w:tr2bl w:val="nil"/>
            </w:tcBorders>
            <w:shd w:val="clear" w:color="auto" w:fill="FFFFFF"/>
            <w:noWrap w:val="0"/>
            <w:vAlign w:val="center"/>
          </w:tcPr>
          <w:p w14:paraId="600E5852">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14:paraId="7E6104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91" w:hRule="atLeast"/>
          <w:jc w:val="center"/>
        </w:trPr>
        <w:tc>
          <w:tcPr>
            <w:tcW w:w="347" w:type="pct"/>
            <w:vMerge w:val="restart"/>
            <w:tcBorders>
              <w:tl2br w:val="nil"/>
              <w:tr2bl w:val="nil"/>
            </w:tcBorders>
            <w:shd w:val="clear" w:color="auto" w:fill="FFFFFF"/>
            <w:noWrap w:val="0"/>
            <w:vAlign w:val="center"/>
          </w:tcPr>
          <w:p w14:paraId="22FC4EF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497" w:type="pct"/>
            <w:vMerge w:val="restart"/>
            <w:tcBorders>
              <w:tl2br w:val="nil"/>
              <w:tr2bl w:val="nil"/>
            </w:tcBorders>
            <w:shd w:val="clear" w:color="auto" w:fill="FFFFFF"/>
            <w:noWrap w:val="0"/>
            <w:vAlign w:val="center"/>
          </w:tcPr>
          <w:p w14:paraId="3CDB538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服务质量</w:t>
            </w:r>
          </w:p>
        </w:tc>
        <w:tc>
          <w:tcPr>
            <w:tcW w:w="547" w:type="pct"/>
            <w:vMerge w:val="restart"/>
            <w:tcBorders>
              <w:tl2br w:val="nil"/>
              <w:tr2bl w:val="nil"/>
            </w:tcBorders>
            <w:shd w:val="clear" w:color="auto" w:fill="FFFFFF"/>
            <w:noWrap w:val="0"/>
            <w:vAlign w:val="center"/>
          </w:tcPr>
          <w:p w14:paraId="23779F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服务过程的专业性与客户满意度</w:t>
            </w:r>
          </w:p>
        </w:tc>
        <w:tc>
          <w:tcPr>
            <w:tcW w:w="1691" w:type="pct"/>
            <w:vMerge w:val="restart"/>
            <w:tcBorders>
              <w:tl2br w:val="nil"/>
              <w:tr2bl w:val="nil"/>
            </w:tcBorders>
            <w:shd w:val="clear" w:color="auto" w:fill="FFFFFF"/>
            <w:noWrap w:val="0"/>
            <w:vAlign w:val="center"/>
          </w:tcPr>
          <w:p w14:paraId="27D2C62A">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工程师技能娴熟，能独立解决绝大多数技术问题。</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服务态度友好，沟通顺畅，能耐心解释问题。</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不影响甲方正常办公秩序，工作现场保持整洁。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 定期进行客户满意度调查，满意度高。</w:t>
            </w:r>
          </w:p>
        </w:tc>
        <w:tc>
          <w:tcPr>
            <w:tcW w:w="1286" w:type="pct"/>
            <w:vMerge w:val="restart"/>
            <w:tcBorders>
              <w:tl2br w:val="nil"/>
              <w:tr2bl w:val="nil"/>
            </w:tcBorders>
            <w:shd w:val="clear" w:color="auto" w:fill="FFFFFF"/>
            <w:noWrap w:val="0"/>
            <w:vAlign w:val="center"/>
          </w:tcPr>
          <w:p w14:paraId="2B305E15">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因技能不足导致问题升级或需外援，每次扣3分。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服务态度差，被甲方有效投诉，每次扣5分。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工作现场杂乱，遗留杂物，每次扣1分。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 满意度调查中提出主要问题未改进，扣3分。</w:t>
            </w:r>
          </w:p>
        </w:tc>
        <w:tc>
          <w:tcPr>
            <w:tcW w:w="314" w:type="pct"/>
            <w:vMerge w:val="restart"/>
            <w:tcBorders>
              <w:tl2br w:val="nil"/>
              <w:tr2bl w:val="nil"/>
            </w:tcBorders>
            <w:shd w:val="clear" w:color="auto" w:fill="FFFFFF"/>
            <w:noWrap w:val="0"/>
            <w:vAlign w:val="center"/>
          </w:tcPr>
          <w:p w14:paraId="7918C9B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314" w:type="pct"/>
            <w:tcBorders>
              <w:tl2br w:val="nil"/>
              <w:tr2bl w:val="nil"/>
            </w:tcBorders>
            <w:shd w:val="clear" w:color="auto" w:fill="FFFFFF"/>
            <w:noWrap w:val="0"/>
            <w:vAlign w:val="center"/>
          </w:tcPr>
          <w:p w14:paraId="453E9F20">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14:paraId="3F0418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109" w:hRule="atLeast"/>
          <w:jc w:val="center"/>
        </w:trPr>
        <w:tc>
          <w:tcPr>
            <w:tcW w:w="347" w:type="pct"/>
            <w:vMerge w:val="restart"/>
            <w:tcBorders>
              <w:tl2br w:val="nil"/>
              <w:tr2bl w:val="nil"/>
            </w:tcBorders>
            <w:shd w:val="clear" w:color="auto" w:fill="FFFFFF"/>
            <w:noWrap w:val="0"/>
            <w:vAlign w:val="center"/>
          </w:tcPr>
          <w:p w14:paraId="70B3853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497" w:type="pct"/>
            <w:vMerge w:val="restart"/>
            <w:tcBorders>
              <w:tl2br w:val="nil"/>
              <w:tr2bl w:val="nil"/>
            </w:tcBorders>
            <w:shd w:val="clear" w:color="auto" w:fill="FFFFFF"/>
            <w:noWrap w:val="0"/>
            <w:vAlign w:val="center"/>
          </w:tcPr>
          <w:p w14:paraId="2A7909E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服务效果</w:t>
            </w:r>
          </w:p>
        </w:tc>
        <w:tc>
          <w:tcPr>
            <w:tcW w:w="547" w:type="pct"/>
            <w:vMerge w:val="restart"/>
            <w:tcBorders>
              <w:tl2br w:val="nil"/>
              <w:tr2bl w:val="nil"/>
            </w:tcBorders>
            <w:shd w:val="clear" w:color="auto" w:fill="FFFFFF"/>
            <w:noWrap w:val="0"/>
            <w:vAlign w:val="center"/>
          </w:tcPr>
          <w:p w14:paraId="0FD1897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系统运行的稳定性与可用性</w:t>
            </w:r>
          </w:p>
        </w:tc>
        <w:tc>
          <w:tcPr>
            <w:tcW w:w="1691" w:type="pct"/>
            <w:vMerge w:val="restart"/>
            <w:tcBorders>
              <w:tl2br w:val="nil"/>
              <w:tr2bl w:val="nil"/>
            </w:tcBorders>
            <w:shd w:val="clear" w:color="auto" w:fill="FFFFFF"/>
            <w:noWrap w:val="0"/>
            <w:vAlign w:val="center"/>
          </w:tcPr>
          <w:p w14:paraId="796BA82C">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通过维保服务，系统整体可用性达到95%以上。</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同类故障发生率显著降低。</w:t>
            </w:r>
          </w:p>
        </w:tc>
        <w:tc>
          <w:tcPr>
            <w:tcW w:w="1286" w:type="pct"/>
            <w:vMerge w:val="restart"/>
            <w:tcBorders>
              <w:tl2br w:val="nil"/>
              <w:tr2bl w:val="nil"/>
            </w:tcBorders>
            <w:shd w:val="clear" w:color="auto" w:fill="FFFFFF"/>
            <w:noWrap w:val="0"/>
            <w:vAlign w:val="center"/>
          </w:tcPr>
          <w:p w14:paraId="7A51C8C5">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系统可用性未达约定指标，扣5-10分。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同一设备同一故障，维修后3个月内故障重复出现。扣3分。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因维保不到位导致关键录像缺失，扣5分。</w:t>
            </w:r>
          </w:p>
        </w:tc>
        <w:tc>
          <w:tcPr>
            <w:tcW w:w="314" w:type="pct"/>
            <w:vMerge w:val="restart"/>
            <w:tcBorders>
              <w:tl2br w:val="nil"/>
              <w:tr2bl w:val="nil"/>
            </w:tcBorders>
            <w:shd w:val="clear" w:color="auto" w:fill="FFFFFF"/>
            <w:noWrap w:val="0"/>
            <w:vAlign w:val="center"/>
          </w:tcPr>
          <w:p w14:paraId="7AF63DC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314" w:type="pct"/>
            <w:tcBorders>
              <w:tl2br w:val="nil"/>
              <w:tr2bl w:val="nil"/>
            </w:tcBorders>
            <w:shd w:val="clear" w:color="auto" w:fill="FFFFFF"/>
            <w:noWrap w:val="0"/>
            <w:vAlign w:val="center"/>
          </w:tcPr>
          <w:p w14:paraId="398FAB3C">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14:paraId="5DC87F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91" w:hRule="atLeast"/>
          <w:jc w:val="center"/>
        </w:trPr>
        <w:tc>
          <w:tcPr>
            <w:tcW w:w="347" w:type="pct"/>
            <w:vMerge w:val="restart"/>
            <w:tcBorders>
              <w:tl2br w:val="nil"/>
              <w:tr2bl w:val="nil"/>
            </w:tcBorders>
            <w:shd w:val="clear" w:color="auto" w:fill="FFFFFF"/>
            <w:noWrap w:val="0"/>
            <w:vAlign w:val="center"/>
          </w:tcPr>
          <w:p w14:paraId="507EB3E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497" w:type="pct"/>
            <w:vMerge w:val="restart"/>
            <w:tcBorders>
              <w:tl2br w:val="nil"/>
              <w:tr2bl w:val="nil"/>
            </w:tcBorders>
            <w:shd w:val="clear" w:color="auto" w:fill="FFFFFF"/>
            <w:noWrap w:val="0"/>
            <w:vAlign w:val="center"/>
          </w:tcPr>
          <w:p w14:paraId="2D31880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工作规范</w:t>
            </w:r>
          </w:p>
        </w:tc>
        <w:tc>
          <w:tcPr>
            <w:tcW w:w="547" w:type="pct"/>
            <w:vMerge w:val="restart"/>
            <w:tcBorders>
              <w:tl2br w:val="nil"/>
              <w:tr2bl w:val="nil"/>
            </w:tcBorders>
            <w:shd w:val="clear" w:color="auto" w:fill="FFFFFF"/>
            <w:noWrap w:val="0"/>
            <w:vAlign w:val="center"/>
          </w:tcPr>
          <w:p w14:paraId="321B8C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流程标准化与安全管理</w:t>
            </w:r>
          </w:p>
        </w:tc>
        <w:tc>
          <w:tcPr>
            <w:tcW w:w="1691" w:type="pct"/>
            <w:vMerge w:val="restart"/>
            <w:tcBorders>
              <w:tl2br w:val="nil"/>
              <w:tr2bl w:val="nil"/>
            </w:tcBorders>
            <w:shd w:val="clear" w:color="auto" w:fill="FFFFFF"/>
            <w:noWrap w:val="0"/>
            <w:vAlign w:val="center"/>
          </w:tcPr>
          <w:p w14:paraId="3A58A1F5">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严格遵守甲方单位的入场、施工、安全等管理规定。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操作流程规范，如进行断电、重启等操作前需获得甲方同意。</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做好数据备份和安全措施，严禁违规操作引入安全风险。</w:t>
            </w:r>
          </w:p>
        </w:tc>
        <w:tc>
          <w:tcPr>
            <w:tcW w:w="1286" w:type="pct"/>
            <w:vMerge w:val="restart"/>
            <w:tcBorders>
              <w:tl2br w:val="nil"/>
              <w:tr2bl w:val="nil"/>
            </w:tcBorders>
            <w:shd w:val="clear" w:color="auto" w:fill="FFFFFF"/>
            <w:noWrap w:val="0"/>
            <w:vAlign w:val="center"/>
          </w:tcPr>
          <w:p w14:paraId="1E12D66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违反甲方入场/安全管理规定，每次扣3分。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未获授权进行重要操作，每次扣5分。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因操作不当导致系统宕机或数据丢失，扣10分。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 引入病毒或安全漏洞，扣5分。</w:t>
            </w:r>
          </w:p>
        </w:tc>
        <w:tc>
          <w:tcPr>
            <w:tcW w:w="314" w:type="pct"/>
            <w:vMerge w:val="restart"/>
            <w:tcBorders>
              <w:tl2br w:val="nil"/>
              <w:tr2bl w:val="nil"/>
            </w:tcBorders>
            <w:shd w:val="clear" w:color="auto" w:fill="FFFFFF"/>
            <w:noWrap w:val="0"/>
            <w:vAlign w:val="center"/>
          </w:tcPr>
          <w:p w14:paraId="16F44B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314" w:type="pct"/>
            <w:tcBorders>
              <w:tl2br w:val="nil"/>
              <w:tr2bl w:val="nil"/>
            </w:tcBorders>
            <w:shd w:val="clear" w:color="auto" w:fill="FFFFFF"/>
            <w:noWrap w:val="0"/>
            <w:vAlign w:val="center"/>
          </w:tcPr>
          <w:p w14:paraId="0987B004">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14:paraId="11DE26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079" w:hRule="atLeast"/>
          <w:jc w:val="center"/>
        </w:trPr>
        <w:tc>
          <w:tcPr>
            <w:tcW w:w="347" w:type="pct"/>
            <w:tcBorders>
              <w:tl2br w:val="nil"/>
              <w:tr2bl w:val="nil"/>
            </w:tcBorders>
            <w:shd w:val="clear" w:color="auto" w:fill="FFFFFF"/>
            <w:noWrap w:val="0"/>
            <w:vAlign w:val="center"/>
          </w:tcPr>
          <w:p w14:paraId="50448F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497" w:type="pct"/>
            <w:tcBorders>
              <w:tl2br w:val="nil"/>
              <w:tr2bl w:val="nil"/>
            </w:tcBorders>
            <w:shd w:val="clear" w:color="auto" w:fill="FFFFFF"/>
            <w:noWrap w:val="0"/>
            <w:vAlign w:val="center"/>
          </w:tcPr>
          <w:p w14:paraId="21AA241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工作纪律</w:t>
            </w:r>
          </w:p>
        </w:tc>
        <w:tc>
          <w:tcPr>
            <w:tcW w:w="547" w:type="pct"/>
            <w:tcBorders>
              <w:tl2br w:val="nil"/>
              <w:tr2bl w:val="nil"/>
            </w:tcBorders>
            <w:shd w:val="clear" w:color="auto" w:fill="FFFFFF"/>
            <w:noWrap w:val="0"/>
            <w:vAlign w:val="center"/>
          </w:tcPr>
          <w:p w14:paraId="75EAA18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人员管理与职业操守</w:t>
            </w:r>
          </w:p>
        </w:tc>
        <w:tc>
          <w:tcPr>
            <w:tcW w:w="1691" w:type="pct"/>
            <w:tcBorders>
              <w:tl2br w:val="nil"/>
              <w:tr2bl w:val="nil"/>
            </w:tcBorders>
            <w:shd w:val="clear" w:color="auto" w:fill="FFFFFF"/>
            <w:noWrap w:val="0"/>
            <w:vAlign w:val="center"/>
          </w:tcPr>
          <w:p w14:paraId="4099FC8F">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派驻人员相对稳定，变更时需提前通知并做好交接。</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人员着装整洁，佩戴工作牌，行为举止得体。</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遵守保密协议，不泄露甲方任何信息。</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 无不正当商业行为。</w:t>
            </w:r>
          </w:p>
        </w:tc>
        <w:tc>
          <w:tcPr>
            <w:tcW w:w="1286" w:type="pct"/>
            <w:tcBorders>
              <w:tl2br w:val="nil"/>
              <w:tr2bl w:val="nil"/>
            </w:tcBorders>
            <w:shd w:val="clear" w:color="auto" w:fill="FFFFFF"/>
            <w:noWrap w:val="0"/>
            <w:vAlign w:val="center"/>
          </w:tcPr>
          <w:p w14:paraId="54688C13">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 人员频繁变更或交接不力影响工作，扣3分。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 着装、行为不规范，每次扣1分。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 发生泄密或严重违纪行为，本项目计0分，并追究责任。</w:t>
            </w:r>
          </w:p>
        </w:tc>
        <w:tc>
          <w:tcPr>
            <w:tcW w:w="314" w:type="pct"/>
            <w:tcBorders>
              <w:tl2br w:val="nil"/>
              <w:tr2bl w:val="nil"/>
            </w:tcBorders>
            <w:shd w:val="clear" w:color="auto" w:fill="FFFFFF"/>
            <w:noWrap w:val="0"/>
            <w:vAlign w:val="center"/>
          </w:tcPr>
          <w:p w14:paraId="28C1C38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314" w:type="pct"/>
            <w:tcBorders>
              <w:tl2br w:val="nil"/>
              <w:tr2bl w:val="nil"/>
            </w:tcBorders>
            <w:shd w:val="clear" w:color="auto" w:fill="FFFFFF"/>
            <w:noWrap w:val="0"/>
            <w:vAlign w:val="center"/>
          </w:tcPr>
          <w:p w14:paraId="148C692D">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r w14:paraId="0FCE86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82" w:hRule="atLeast"/>
          <w:jc w:val="center"/>
        </w:trPr>
        <w:tc>
          <w:tcPr>
            <w:tcW w:w="4370" w:type="pct"/>
            <w:gridSpan w:val="5"/>
            <w:tcBorders>
              <w:tl2br w:val="nil"/>
              <w:tr2bl w:val="nil"/>
            </w:tcBorders>
            <w:shd w:val="clear" w:color="auto" w:fill="FFFFFF"/>
            <w:noWrap w:val="0"/>
            <w:vAlign w:val="center"/>
          </w:tcPr>
          <w:p w14:paraId="1541D6C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合计得分</w:t>
            </w:r>
          </w:p>
        </w:tc>
        <w:tc>
          <w:tcPr>
            <w:tcW w:w="629" w:type="pct"/>
            <w:gridSpan w:val="2"/>
            <w:tcBorders>
              <w:tl2br w:val="nil"/>
              <w:tr2bl w:val="nil"/>
            </w:tcBorders>
            <w:shd w:val="clear" w:color="auto" w:fill="FFFFFF"/>
            <w:noWrap w:val="0"/>
            <w:vAlign w:val="center"/>
          </w:tcPr>
          <w:p w14:paraId="353E9931">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r>
    </w:tbl>
    <w:p w14:paraId="6862242F">
      <w:pPr>
        <w:keepNext w:val="0"/>
        <w:keepLines w:val="0"/>
        <w:pageBreakBefore w:val="0"/>
        <w:wordWrap/>
        <w:overflowPunct/>
        <w:topLinePunct w:val="0"/>
        <w:bidi w:val="0"/>
        <w:snapToGrid w:val="0"/>
        <w:spacing w:line="360" w:lineRule="auto"/>
        <w:rPr>
          <w:rFonts w:hint="default" w:cs="宋体"/>
          <w:sz w:val="21"/>
          <w:szCs w:val="21"/>
          <w:highlight w:val="none"/>
          <w:lang w:val="en-US" w:eastAsia="zh-CN"/>
        </w:rPr>
      </w:pPr>
    </w:p>
    <w:p w14:paraId="10787FC6">
      <w:bookmarkStart w:id="6" w:name="_GoBack"/>
      <w:bookmarkEnd w:id="6"/>
    </w:p>
    <w:sectPr>
      <w:footerReference r:id="rId3" w:type="default"/>
      <w:pgSz w:w="11906" w:h="16838"/>
      <w:pgMar w:top="1440" w:right="1080" w:bottom="1440" w:left="108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681D6">
    <w:pPr>
      <w:pStyle w:val="5"/>
      <w:rPr>
        <w:rFonts w:hint="eastAsia" w:ascii="仿宋_GB2312" w:eastAsia="仿宋_GB2312"/>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F52E93"/>
    <w:rsid w:val="1BAE5F23"/>
    <w:rsid w:val="1DD846CA"/>
    <w:rsid w:val="3B8D689A"/>
    <w:rsid w:val="47F52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paragraph" w:styleId="3">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ind w:left="490"/>
    </w:pPr>
    <w:rPr>
      <w:sz w:val="19"/>
      <w:szCs w:val="19"/>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2025-11-10T02:12:00Z</dcterms:created>
  <dc:creator>ZBB</dc:creator>
  <cp:lastModifiedBy>ZBB</cp:lastModifiedBy>
  <dcterms:modified xsi:type="dcterms:W3CDTF">2025-11-10T02:12:19Z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F586E2A5B54143AEA9576BEE7B4BCCFE_11</vt:lpwstr>
  </property>
  <property fmtid="{D5CDD505-2E9C-101B-9397-08002B2CF9AE}" pid="4" name="KSOTemplateDocerSaveRecord">
    <vt:lpwstr>eyJoZGlkIjoiMzVmMmY1MmRiMzBjZDQxYzkyYzYxYWIwYTJhNzFmMDMiLCJ1c2VySWQiOiIyNjQ2NDU1NDQifQ==</vt:lpwstr>
  </property>
</Properties>
</file>