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版本号：SZT2025-SN-XC-ZC-FW-1149.20251107001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2025年监控丨系统运维项目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SZT2025-SN-XC-ZC-FW-1149.</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2025年监控丨系统运维项目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SZT2025-SN-XC-ZC-FW-1149.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2025年监控丨系统运维项目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共资源交易中心监控丨系统自2018年起投入使用以来，已持续运行多年，本次由供应商通过服务承包方式全面负责本项目范围内的所有设施、设备、系统的运行管理、维修维护等工作，确保公共资源交易中心监控丨系统持续、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采购包1（监控丨系统运维）：属于专门面向中小企业采购。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连杰、马帅、单博、李娜、史肖霞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说明：户名：西安市公共资源交易中心保证金户 账 号：9558853700001663468 开户行：中国工商银行股份有限公司西安曲江支行 备注：本合同维保服务期满后，供应商持《项目验收单》《付款申请单》到采购人处办理履约保证金退还手续，五个工作日内无息退还。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成交通知书时向采购代理机构支付招标代理服务费。招标代理服务费的收取参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共资源交易中心监控丨系统自2018年起投入使用以来，已持续运行多年，本次由供应商通过服务承包方式全面负责本项目范围内的所有设施、设备、系统的运行管理、维修维护等工作，确保公共资源交易中心监控丨系统持续、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476,000.00</w:t>
      </w:r>
    </w:p>
    <w:p>
      <w:pPr>
        <w:pStyle w:val="null3"/>
      </w:pPr>
      <w:r>
        <w:rPr>
          <w:rFonts w:ascii="仿宋_GB2312" w:hAnsi="仿宋_GB2312" w:cs="仿宋_GB2312" w:eastAsia="仿宋_GB2312"/>
        </w:rPr>
        <w:t>采购包最高限价（元）: 476,000.00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监控丨系统运维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476,000.00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标的名称：监控丨系统运维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1 设备维保清单</w:t>
            </w:r>
          </w:p>
          <w:tbl>
            <w:tblPr>
              <w:tblBorders>
                <w:top w:val="none" w:color="000000" w:sz="4"/>
                <w:left w:val="none" w:color="000000" w:sz="4"/>
                <w:bottom w:val="none" w:color="000000" w:sz="4"/>
                <w:right w:val="none" w:color="000000" w:sz="4"/>
                <w:insideH w:val="none"/>
                <w:insideV w:val="none"/>
              </w:tblBorders>
            </w:tblPr>
            <w:tblGrid>
              <w:gridCol w:w="237"/>
              <w:gridCol w:w="1105"/>
              <w:gridCol w:w="674"/>
              <w:gridCol w:w="226"/>
              <w:gridCol w:w="311"/>
            </w:tblGrid>
            <w:tr>
              <w:tc>
                <w:tcPr>
                  <w:tcW w:type="dxa" w:w="237"/>
                  <w:tcBorders>
                    <w:top w:val="single" w:color="000000" w:sz="8"/>
                    <w:left w:val="single" w:color="000000" w:sz="8"/>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05"/>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设备名称及型号</w:t>
                  </w:r>
                </w:p>
              </w:tc>
              <w:tc>
                <w:tcPr>
                  <w:tcW w:type="dxa" w:w="674"/>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保修服务要求</w:t>
                  </w:r>
                </w:p>
              </w:tc>
              <w:tc>
                <w:tcPr>
                  <w:tcW w:type="dxa" w:w="226"/>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11"/>
                  <w:tcBorders>
                    <w:top w:val="single" w:color="000000" w:sz="8"/>
                    <w:left w:val="single" w:color="000000" w:sz="4"/>
                    <w:bottom w:val="single" w:color="000000" w:sz="4"/>
                    <w:right w:val="single" w:color="000000" w:sz="8"/>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553"/>
                  <w:gridSpan w:val="5"/>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一、公共区域及开评标区监控丨系统</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综合安防管理平台</w:t>
                  </w:r>
                </w:p>
                <w:p>
                  <w:pPr>
                    <w:pStyle w:val="null3"/>
                    <w:jc w:val="both"/>
                  </w:pPr>
                  <w:r>
                    <w:rPr>
                      <w:rFonts w:ascii="仿宋_GB2312" w:hAnsi="仿宋_GB2312" w:cs="仿宋_GB2312" w:eastAsia="仿宋_GB2312"/>
                      <w:sz w:val="20"/>
                      <w:color w:val="000000"/>
                    </w:rPr>
                    <w:t>◆海康威视 DS-VE2208C-RBC</w:t>
                  </w:r>
                </w:p>
                <w:p>
                  <w:pPr>
                    <w:pStyle w:val="null3"/>
                    <w:jc w:val="both"/>
                  </w:pPr>
                  <w:r>
                    <w:rPr>
                      <w:rFonts w:ascii="仿宋_GB2312" w:hAnsi="仿宋_GB2312" w:cs="仿宋_GB2312" w:eastAsia="仿宋_GB2312"/>
                      <w:sz w:val="20"/>
                      <w:color w:val="000000"/>
                    </w:rPr>
                    <w:t>◆海康威视 IVMS-8700E</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综合监控与运维管理平台</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DS-VE22S-B</w:t>
                  </w:r>
                </w:p>
                <w:p>
                  <w:pPr>
                    <w:pStyle w:val="null3"/>
                    <w:jc w:val="both"/>
                  </w:pPr>
                  <w:r>
                    <w:rPr>
                      <w:rFonts w:ascii="仿宋_GB2312" w:hAnsi="仿宋_GB2312" w:cs="仿宋_GB2312" w:eastAsia="仿宋_GB2312"/>
                      <w:sz w:val="20"/>
                      <w:color w:val="000000"/>
                    </w:rPr>
                    <w:t>◆海康威视 IVMS-9300</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综合</w:t>
                  </w:r>
                  <w:r>
                    <w:rPr>
                      <w:rFonts w:ascii="仿宋_GB2312" w:hAnsi="仿宋_GB2312" w:cs="仿宋_GB2312" w:eastAsia="仿宋_GB2312"/>
                      <w:sz w:val="20"/>
                      <w:color w:val="000000"/>
                    </w:rPr>
                    <w:t>安防</w:t>
                  </w:r>
                  <w:r>
                    <w:rPr>
                      <w:rFonts w:ascii="仿宋_GB2312" w:hAnsi="仿宋_GB2312" w:cs="仿宋_GB2312" w:eastAsia="仿宋_GB2312"/>
                      <w:sz w:val="20"/>
                      <w:color w:val="000000"/>
                    </w:rPr>
                    <w:t>管理平台</w:t>
                  </w:r>
                </w:p>
                <w:p>
                  <w:pPr>
                    <w:pStyle w:val="null3"/>
                    <w:jc w:val="both"/>
                  </w:pPr>
                  <w:r>
                    <w:rPr>
                      <w:rFonts w:ascii="仿宋_GB2312" w:hAnsi="仿宋_GB2312" w:cs="仿宋_GB2312" w:eastAsia="仿宋_GB2312"/>
                      <w:sz w:val="20"/>
                      <w:color w:val="000000"/>
                    </w:rPr>
                    <w:t>◆海康威视 DS-VE22S-B</w:t>
                  </w:r>
                </w:p>
                <w:p>
                  <w:pPr>
                    <w:pStyle w:val="null3"/>
                    <w:jc w:val="both"/>
                  </w:pPr>
                  <w:r>
                    <w:rPr>
                      <w:rFonts w:ascii="仿宋_GB2312" w:hAnsi="仿宋_GB2312" w:cs="仿宋_GB2312" w:eastAsia="仿宋_GB2312"/>
                      <w:sz w:val="20"/>
                      <w:color w:val="000000"/>
                    </w:rPr>
                    <w:t>◆海康威视 iSecure Center</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V1.7</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存储主机</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DS-A71048R</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存储</w:t>
                  </w:r>
                  <w:r>
                    <w:rPr>
                      <w:rFonts w:ascii="仿宋_GB2312" w:hAnsi="仿宋_GB2312" w:cs="仿宋_GB2312" w:eastAsia="仿宋_GB2312"/>
                      <w:sz w:val="20"/>
                      <w:color w:val="000000"/>
                    </w:rPr>
                    <w:t>扩展柜</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DS-A80648S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存储扩展柜</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DS-AJ7824S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硬盘</w:t>
                  </w:r>
                </w:p>
                <w:p>
                  <w:pPr>
                    <w:pStyle w:val="null3"/>
                  </w:pPr>
                  <w:r>
                    <w:rPr>
                      <w:rFonts w:ascii="仿宋_GB2312" w:hAnsi="仿宋_GB2312" w:cs="仿宋_GB2312" w:eastAsia="仿宋_GB2312"/>
                      <w:sz w:val="20"/>
                      <w:color w:val="000000"/>
                    </w:rPr>
                    <w:t>3柜：1x48盘</w:t>
                  </w:r>
                </w:p>
                <w:p>
                  <w:pPr>
                    <w:pStyle w:val="null3"/>
                  </w:pPr>
                  <w:r>
                    <w:rPr>
                      <w:rFonts w:ascii="仿宋_GB2312" w:hAnsi="仿宋_GB2312" w:cs="仿宋_GB2312" w:eastAsia="仿宋_GB2312"/>
                      <w:sz w:val="20"/>
                      <w:color w:val="000000"/>
                    </w:rPr>
                    <w:t>12柜：3x48盘</w:t>
                  </w:r>
                </w:p>
                <w:p>
                  <w:pPr>
                    <w:pStyle w:val="null3"/>
                  </w:pPr>
                  <w:r>
                    <w:rPr>
                      <w:rFonts w:ascii="仿宋_GB2312" w:hAnsi="仿宋_GB2312" w:cs="仿宋_GB2312" w:eastAsia="仿宋_GB2312"/>
                      <w:sz w:val="20"/>
                      <w:color w:val="000000"/>
                    </w:rPr>
                    <w:t>25柜：1x14盘</w:t>
                  </w:r>
                </w:p>
                <w:p>
                  <w:pPr>
                    <w:pStyle w:val="null3"/>
                    <w:jc w:val="both"/>
                  </w:pPr>
                  <w:r>
                    <w:rPr>
                      <w:rFonts w:ascii="仿宋_GB2312" w:hAnsi="仿宋_GB2312" w:cs="仿宋_GB2312" w:eastAsia="仿宋_GB2312"/>
                      <w:sz w:val="20"/>
                      <w:color w:val="000000"/>
                    </w:rPr>
                    <w:t>26柜：2x48盘、4x24盘</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398</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NTP</w:t>
                  </w:r>
                  <w:r>
                    <w:rPr>
                      <w:rFonts w:ascii="仿宋_GB2312" w:hAnsi="仿宋_GB2312" w:cs="仿宋_GB2312" w:eastAsia="仿宋_GB2312"/>
                      <w:sz w:val="20"/>
                      <w:color w:val="000000"/>
                    </w:rPr>
                    <w:t>校时服务器</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DS-VEN11H-NTP</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1080P星光半球（公共区域）</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DS-2CD2725EF-IZS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1080P星光半球（开评标区）</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DS-2CD2725EF-IZS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400W智能高清电动变焦半球</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DS-2CD2745EFV2-IS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监控摄像机</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0"/>
                      <w:color w:val="000000"/>
                    </w:rPr>
                    <w:t>DS-2CD5145EWJX2-IZS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专业拾音器</w:t>
                  </w:r>
                </w:p>
                <w:p>
                  <w:pPr>
                    <w:pStyle w:val="null3"/>
                    <w:jc w:val="both"/>
                  </w:pPr>
                  <w:r>
                    <w:rPr>
                      <w:rFonts w:ascii="仿宋_GB2312" w:hAnsi="仿宋_GB2312" w:cs="仿宋_GB2312" w:eastAsia="仿宋_GB2312"/>
                      <w:sz w:val="20"/>
                      <w:color w:val="000000"/>
                    </w:rPr>
                    <w:t>思正</w:t>
                  </w:r>
                  <w:r>
                    <w:rPr>
                      <w:rFonts w:ascii="仿宋_GB2312" w:hAnsi="仿宋_GB2312" w:cs="仿宋_GB2312" w:eastAsia="仿宋_GB2312"/>
                      <w:sz w:val="20"/>
                      <w:color w:val="000000"/>
                    </w:rPr>
                    <w:t>MX-K70</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专业拾音器</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0"/>
                      <w:color w:val="000000"/>
                    </w:rPr>
                    <w:t>DS-2FP2020</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专业拾音器</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0"/>
                      <w:color w:val="000000"/>
                    </w:rPr>
                    <w:t>DS-2FP4021-B/MD</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专业拾音器</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0"/>
                      <w:color w:val="000000"/>
                    </w:rPr>
                    <w:t>DS-2FP3021-OW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w:t>
                  </w:r>
                  <w:r>
                    <w:rPr>
                      <w:rFonts w:ascii="仿宋_GB2312" w:hAnsi="仿宋_GB2312" w:cs="仿宋_GB2312" w:eastAsia="仿宋_GB2312"/>
                      <w:sz w:val="20"/>
                      <w:color w:val="000000"/>
                    </w:rPr>
                    <w:t>POE接入交换机</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DS-3E3752P-H</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监控丨系统</w:t>
                  </w:r>
                  <w:r>
                    <w:rPr>
                      <w:rFonts w:ascii="仿宋_GB2312" w:hAnsi="仿宋_GB2312" w:cs="仿宋_GB2312" w:eastAsia="仿宋_GB2312"/>
                      <w:sz w:val="20"/>
                      <w:color w:val="000000"/>
                    </w:rPr>
                    <w:t>汇聚交换机</w:t>
                  </w:r>
                </w:p>
                <w:p>
                  <w:pPr>
                    <w:pStyle w:val="null3"/>
                    <w:jc w:val="both"/>
                  </w:pPr>
                  <w:r>
                    <w:rPr>
                      <w:rFonts w:ascii="仿宋_GB2312" w:hAnsi="仿宋_GB2312" w:cs="仿宋_GB2312" w:eastAsia="仿宋_GB2312"/>
                      <w:sz w:val="20"/>
                      <w:color w:val="000000"/>
                    </w:rPr>
                    <w:t>H3C S7506E</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华为交换机</w:t>
                  </w:r>
                  <w:r>
                    <w:rPr>
                      <w:rFonts w:ascii="仿宋_GB2312" w:hAnsi="仿宋_GB2312" w:cs="仿宋_GB2312" w:eastAsia="仿宋_GB2312"/>
                      <w:sz w:val="20"/>
                      <w:color w:val="000000"/>
                    </w:rPr>
                    <w:t>S5735</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H3C交换机S5130S</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信锐交换机</w:t>
                  </w:r>
                  <w:r>
                    <w:rPr>
                      <w:rFonts w:ascii="仿宋_GB2312" w:hAnsi="仿宋_GB2312" w:cs="仿宋_GB2312" w:eastAsia="仿宋_GB2312"/>
                      <w:sz w:val="20"/>
                      <w:color w:val="000000"/>
                    </w:rPr>
                    <w:t>RS5300</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553"/>
                  <w:gridSpan w:val="5"/>
                  <w:tcBorders>
                    <w:top w:val="singl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二、安全智慧大数据人脸识别系统</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综合管理平台</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DS-VE22S-B</w:t>
                  </w:r>
                </w:p>
                <w:p>
                  <w:pPr>
                    <w:pStyle w:val="null3"/>
                    <w:jc w:val="both"/>
                  </w:pPr>
                  <w:r>
                    <w:rPr>
                      <w:rFonts w:ascii="仿宋_GB2312" w:hAnsi="仿宋_GB2312" w:cs="仿宋_GB2312" w:eastAsia="仿宋_GB2312"/>
                      <w:sz w:val="20"/>
                      <w:color w:val="000000"/>
                    </w:rPr>
                    <w:t xml:space="preserve">◆海康威视 </w:t>
                  </w:r>
                  <w:r>
                    <w:rPr>
                      <w:rFonts w:ascii="仿宋_GB2312" w:hAnsi="仿宋_GB2312" w:cs="仿宋_GB2312" w:eastAsia="仿宋_GB2312"/>
                      <w:sz w:val="20"/>
                      <w:color w:val="000000"/>
                    </w:rPr>
                    <w:t>iSecure Center</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V1.</w:t>
                  </w:r>
                  <w:r>
                    <w:rPr>
                      <w:rFonts w:ascii="仿宋_GB2312" w:hAnsi="仿宋_GB2312" w:cs="仿宋_GB2312" w:eastAsia="仿宋_GB2312"/>
                      <w:sz w:val="20"/>
                      <w:color w:val="000000"/>
                    </w:rPr>
                    <w:t>3</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人脸分析服务器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海康威视</w:t>
                  </w:r>
                  <w:r>
                    <w:rPr>
                      <w:rFonts w:ascii="仿宋_GB2312" w:hAnsi="仿宋_GB2312" w:cs="仿宋_GB2312" w:eastAsia="仿宋_GB2312"/>
                      <w:sz w:val="20"/>
                      <w:color w:val="000000"/>
                    </w:rPr>
                    <w:t>DS-IE0364-E/FA</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存储主机</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DS-A710</w:t>
                  </w:r>
                  <w:r>
                    <w:rPr>
                      <w:rFonts w:ascii="仿宋_GB2312" w:hAnsi="仿宋_GB2312" w:cs="仿宋_GB2312" w:eastAsia="仿宋_GB2312"/>
                      <w:sz w:val="20"/>
                      <w:color w:val="000000"/>
                    </w:rPr>
                    <w:t>24</w:t>
                  </w:r>
                  <w:r>
                    <w:rPr>
                      <w:rFonts w:ascii="仿宋_GB2312" w:hAnsi="仿宋_GB2312" w:cs="仿宋_GB2312" w:eastAsia="仿宋_GB2312"/>
                      <w:sz w:val="20"/>
                      <w:color w:val="000000"/>
                    </w:rPr>
                    <w:t>R</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监控摄像机</w:t>
                  </w:r>
                </w:p>
                <w:p>
                  <w:pPr>
                    <w:pStyle w:val="null3"/>
                    <w:jc w:val="both"/>
                  </w:pPr>
                  <w:r>
                    <w:rPr>
                      <w:rFonts w:ascii="仿宋_GB2312" w:hAnsi="仿宋_GB2312" w:cs="仿宋_GB2312" w:eastAsia="仿宋_GB2312"/>
                      <w:sz w:val="20"/>
                      <w:color w:val="000000"/>
                    </w:rPr>
                    <w:t>海康威视</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DS-2CD7A6DK</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553"/>
                  <w:gridSpan w:val="5"/>
                  <w:tcBorders>
                    <w:top w:val="singl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三、电子大屏（含控制器、解码器、发送卡等配套设备）</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LED屏（一楼大厅）</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HL-P1.923</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拼接屏（一楼大厅）</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HL55ND-W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拼接屏（一楼休息区）</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HL55ND5-W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拼接屏（一楼见证室）</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HL49NDE-W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LED屏（203会议室）</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HL-P1.667</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拼接屏（二楼休息区）</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HL55ND5-W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拼接屏（三楼文化展厅）</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HL55ND5-W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拼接屏（五楼休息区）</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HL55ND5-W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w:t>
                  </w:r>
                  <w:r>
                    <w:rPr>
                      <w:rFonts w:ascii="仿宋_GB2312" w:hAnsi="仿宋_GB2312" w:cs="仿宋_GB2312" w:eastAsia="仿宋_GB2312"/>
                      <w:sz w:val="20"/>
                      <w:color w:val="000000"/>
                    </w:rPr>
                    <w:t>504室）</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HL55ND-W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拼接屏（六楼准备区）</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HL55ND5-W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拼接屏（监控室里间）</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HL49NDE-W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拼接屏（监控室外间）</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0"/>
                      <w:color w:val="000000"/>
                    </w:rPr>
                    <w:t>HL49NDE-W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3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拼接屏（备用）</w:t>
                  </w:r>
                </w:p>
                <w:p>
                  <w:pPr>
                    <w:pStyle w:val="null3"/>
                    <w:jc w:val="both"/>
                  </w:pPr>
                  <w:r>
                    <w:rPr>
                      <w:rFonts w:ascii="仿宋_GB2312" w:hAnsi="仿宋_GB2312" w:cs="仿宋_GB2312" w:eastAsia="仿宋_GB2312"/>
                      <w:sz w:val="20"/>
                      <w:color w:val="000000"/>
                    </w:rPr>
                    <w:t>慧联</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HL55ND-W</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整机保修服务</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553"/>
                  <w:gridSpan w:val="5"/>
                  <w:tcBorders>
                    <w:top w:val="singl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注：以上设备根据使用情况可能有所调整，以现场实际设备型号和数量为准。</w:t>
                  </w:r>
                </w:p>
              </w:tc>
            </w:tr>
          </w:tbl>
          <w:p>
            <w:pPr>
              <w:pStyle w:val="null3"/>
              <w:ind w:firstLine="402"/>
              <w:jc w:val="both"/>
            </w:pPr>
            <w:r>
              <w:rPr>
                <w:rFonts w:ascii="仿宋_GB2312" w:hAnsi="仿宋_GB2312" w:cs="仿宋_GB2312" w:eastAsia="仿宋_GB2312"/>
                <w:sz w:val="20"/>
                <w:b/>
                <w:color w:val="000000"/>
              </w:rPr>
              <w:t>2 服务内容</w:t>
            </w:r>
          </w:p>
          <w:p>
            <w:pPr>
              <w:pStyle w:val="null3"/>
              <w:ind w:firstLine="402"/>
              <w:jc w:val="both"/>
            </w:pPr>
            <w:r>
              <w:rPr>
                <w:rFonts w:ascii="仿宋_GB2312" w:hAnsi="仿宋_GB2312" w:cs="仿宋_GB2312" w:eastAsia="仿宋_GB2312"/>
                <w:sz w:val="20"/>
                <w:b/>
                <w:color w:val="000000"/>
              </w:rPr>
              <w:t>2.1 设备巡检</w:t>
            </w:r>
          </w:p>
          <w:p>
            <w:pPr>
              <w:pStyle w:val="null3"/>
              <w:ind w:firstLine="400"/>
              <w:jc w:val="both"/>
            </w:pPr>
            <w:r>
              <w:rPr>
                <w:rFonts w:ascii="仿宋_GB2312" w:hAnsi="仿宋_GB2312" w:cs="仿宋_GB2312" w:eastAsia="仿宋_GB2312"/>
                <w:sz w:val="20"/>
                <w:color w:val="000000"/>
              </w:rPr>
              <w:t>驻场人员每天交易活动开始前巡查监控摄像头及大屏实时状态，发现问题，及时解决；每月</w:t>
            </w:r>
            <w:r>
              <w:rPr>
                <w:rFonts w:ascii="仿宋_GB2312" w:hAnsi="仿宋_GB2312" w:cs="仿宋_GB2312" w:eastAsia="仿宋_GB2312"/>
                <w:sz w:val="20"/>
                <w:color w:val="000000"/>
              </w:rPr>
              <w:t>进行一次设备巡检和预防性维护</w:t>
            </w:r>
            <w:r>
              <w:rPr>
                <w:rFonts w:ascii="仿宋_GB2312" w:hAnsi="仿宋_GB2312" w:cs="仿宋_GB2312" w:eastAsia="仿宋_GB2312"/>
                <w:sz w:val="20"/>
                <w:color w:val="000000"/>
              </w:rPr>
              <w:t>，并向采购人提供巡检报告，并在巡检结束后</w:t>
            </w:r>
            <w:r>
              <w:rPr>
                <w:rFonts w:ascii="仿宋_GB2312" w:hAnsi="仿宋_GB2312" w:cs="仿宋_GB2312" w:eastAsia="仿宋_GB2312"/>
                <w:sz w:val="20"/>
                <w:color w:val="000000"/>
              </w:rPr>
              <w:t>3个工作日内提交给采购人。巡检内容包括：</w:t>
            </w:r>
          </w:p>
          <w:p>
            <w:pPr>
              <w:pStyle w:val="null3"/>
              <w:ind w:firstLine="400"/>
              <w:jc w:val="both"/>
            </w:pPr>
            <w:r>
              <w:rPr>
                <w:rFonts w:ascii="仿宋_GB2312" w:hAnsi="仿宋_GB2312" w:cs="仿宋_GB2312" w:eastAsia="仿宋_GB2312"/>
                <w:sz w:val="20"/>
                <w:color w:val="000000"/>
              </w:rPr>
              <w:t>1.检查监控设备的图像质量、视野范围、拾音质量、自动光圈镜头的自动调节等关键技术指标，确保符合规范要求。</w:t>
            </w:r>
          </w:p>
          <w:p>
            <w:pPr>
              <w:pStyle w:val="null3"/>
              <w:ind w:firstLine="400"/>
              <w:jc w:val="both"/>
            </w:pPr>
            <w:r>
              <w:rPr>
                <w:rFonts w:ascii="仿宋_GB2312" w:hAnsi="仿宋_GB2312" w:cs="仿宋_GB2312" w:eastAsia="仿宋_GB2312"/>
                <w:sz w:val="20"/>
                <w:color w:val="000000"/>
              </w:rPr>
              <w:t>2.对设备进行维护保养，及时发现并处理安全隐患，防止设备故障导致的安全问题。</w:t>
            </w:r>
          </w:p>
          <w:p>
            <w:pPr>
              <w:pStyle w:val="null3"/>
              <w:ind w:firstLine="400"/>
              <w:jc w:val="both"/>
            </w:pPr>
            <w:r>
              <w:rPr>
                <w:rFonts w:ascii="仿宋_GB2312" w:hAnsi="仿宋_GB2312" w:cs="仿宋_GB2312" w:eastAsia="仿宋_GB2312"/>
                <w:sz w:val="20"/>
                <w:color w:val="000000"/>
              </w:rPr>
              <w:t>3.对前端摄像机、拾音器，后端服务器、存储、交换机、大屏等设备进行除尘保养，确保机器良好散热。特别是对摄像机、防护罩等部件进行彻底吹风除尘，并用无水酒精棉清洁镜头，调整清晰度。</w:t>
            </w:r>
          </w:p>
          <w:p>
            <w:pPr>
              <w:pStyle w:val="null3"/>
              <w:ind w:firstLine="400"/>
              <w:jc w:val="both"/>
            </w:pPr>
            <w:r>
              <w:rPr>
                <w:rFonts w:ascii="仿宋_GB2312" w:hAnsi="仿宋_GB2312" w:cs="仿宋_GB2312" w:eastAsia="仿宋_GB2312"/>
                <w:sz w:val="20"/>
                <w:color w:val="000000"/>
              </w:rPr>
              <w:t>4.检查各弱电设备的电源、跳线等线路接点，避免缠绕和松动，保证系统稳定运行。</w:t>
            </w:r>
          </w:p>
          <w:p>
            <w:pPr>
              <w:pStyle w:val="null3"/>
              <w:ind w:firstLine="400"/>
              <w:jc w:val="both"/>
            </w:pPr>
            <w:r>
              <w:rPr>
                <w:rFonts w:ascii="仿宋_GB2312" w:hAnsi="仿宋_GB2312" w:cs="仿宋_GB2312" w:eastAsia="仿宋_GB2312"/>
                <w:sz w:val="20"/>
                <w:color w:val="000000"/>
              </w:rPr>
              <w:t>5.对容易老化的监控设备部件进行全面检查，一旦发现老化现象应及时更换、维修，如视频头等。</w:t>
            </w:r>
          </w:p>
          <w:p>
            <w:pPr>
              <w:pStyle w:val="null3"/>
              <w:ind w:firstLine="400"/>
              <w:jc w:val="both"/>
            </w:pPr>
            <w:r>
              <w:rPr>
                <w:rFonts w:ascii="仿宋_GB2312" w:hAnsi="仿宋_GB2312" w:cs="仿宋_GB2312" w:eastAsia="仿宋_GB2312"/>
                <w:sz w:val="20"/>
                <w:color w:val="000000"/>
              </w:rPr>
              <w:t>6.对监控丨系统软件进行安全漏洞扫描，更新补丁及对应插件版本，修复检测出的漏洞，保证系统安全性。</w:t>
            </w:r>
          </w:p>
          <w:p>
            <w:pPr>
              <w:pStyle w:val="null3"/>
              <w:ind w:firstLine="402"/>
              <w:jc w:val="both"/>
            </w:pPr>
            <w:r>
              <w:rPr>
                <w:rFonts w:ascii="仿宋_GB2312" w:hAnsi="仿宋_GB2312" w:cs="仿宋_GB2312" w:eastAsia="仿宋_GB2312"/>
                <w:sz w:val="20"/>
                <w:b/>
                <w:color w:val="000000"/>
              </w:rPr>
              <w:t>2.2 故障修复</w:t>
            </w:r>
          </w:p>
          <w:p>
            <w:pPr>
              <w:pStyle w:val="null3"/>
              <w:ind w:firstLine="388"/>
              <w:jc w:val="both"/>
            </w:pPr>
            <w:r>
              <w:rPr>
                <w:rFonts w:ascii="仿宋_GB2312" w:hAnsi="仿宋_GB2312" w:cs="仿宋_GB2312" w:eastAsia="仿宋_GB2312"/>
                <w:sz w:val="20"/>
                <w:color w:val="000000"/>
              </w:rPr>
              <w:t>驻场服务期间硬件设备出现一般故障后，驻场人员</w:t>
            </w:r>
            <w:r>
              <w:rPr>
                <w:rFonts w:ascii="仿宋_GB2312" w:hAnsi="仿宋_GB2312" w:cs="仿宋_GB2312" w:eastAsia="仿宋_GB2312"/>
                <w:sz w:val="20"/>
                <w:color w:val="000000"/>
              </w:rPr>
              <w:t>30分钟内进行响应；驻场服务期间之外出现一般故障时，自接到采购人到场通知后，驻场维保人员2小时内抵达现场。</w:t>
            </w:r>
          </w:p>
          <w:p>
            <w:pPr>
              <w:pStyle w:val="null3"/>
              <w:ind w:firstLine="388"/>
              <w:jc w:val="both"/>
            </w:pPr>
            <w:r>
              <w:rPr>
                <w:rFonts w:ascii="仿宋_GB2312" w:hAnsi="仿宋_GB2312" w:cs="仿宋_GB2312" w:eastAsia="仿宋_GB2312"/>
                <w:sz w:val="20"/>
                <w:color w:val="000000"/>
              </w:rPr>
              <w:t>1.更换损坏部件：对于损坏的硬件部件（如监控摄像头、拾音器、存储磁盘、电源设备等），优先使用备件进行更换，尽量避免监控丨系统中断。供应商应保证有充足的常用备件和专业仪器工具，以便在设备出现故障时能够迅速进行更换，减少停机时间。</w:t>
            </w:r>
          </w:p>
          <w:p>
            <w:pPr>
              <w:pStyle w:val="null3"/>
              <w:ind w:firstLine="388"/>
              <w:jc w:val="both"/>
            </w:pPr>
            <w:r>
              <w:rPr>
                <w:rFonts w:ascii="仿宋_GB2312" w:hAnsi="仿宋_GB2312" w:cs="仿宋_GB2312" w:eastAsia="仿宋_GB2312"/>
                <w:sz w:val="20"/>
                <w:color w:val="000000"/>
              </w:rPr>
              <w:t>2.部件修复：维修时须更换的设备或材料，应提供与原设备相同的品牌型号或升级产品或更优于的原设备品牌、型号、规格的货物，并为合法来源产品。对于更换下来的故障部件，应首先尝试自行修复。若需返厂维修时，供应商须书面取得采购人同意，返厂维修的同时，供应商需提供同等性能规格的设备进行替代，确保系统正常运行。</w:t>
            </w:r>
          </w:p>
          <w:p>
            <w:pPr>
              <w:pStyle w:val="null3"/>
              <w:ind w:firstLine="388"/>
              <w:jc w:val="both"/>
            </w:pPr>
            <w:r>
              <w:rPr>
                <w:rFonts w:ascii="仿宋_GB2312" w:hAnsi="仿宋_GB2312" w:cs="仿宋_GB2312" w:eastAsia="仿宋_GB2312"/>
                <w:sz w:val="20"/>
                <w:color w:val="000000"/>
              </w:rPr>
              <w:t>故障处理完毕后，驻场人员需及时提交详细的维修报告，记录故障现象、处理过程、更换配件情况等信息，为采购人后续的设备维护和管理提供有力支持。</w:t>
            </w:r>
          </w:p>
          <w:p>
            <w:pPr>
              <w:pStyle w:val="null3"/>
              <w:ind w:firstLine="388"/>
              <w:jc w:val="both"/>
            </w:pPr>
            <w:r>
              <w:rPr>
                <w:rFonts w:ascii="仿宋_GB2312" w:hAnsi="仿宋_GB2312" w:cs="仿宋_GB2312" w:eastAsia="仿宋_GB2312"/>
                <w:sz w:val="20"/>
                <w:color w:val="000000"/>
              </w:rPr>
              <w:t>设备故障修复及时率：达到</w:t>
            </w:r>
            <w:r>
              <w:rPr>
                <w:rFonts w:ascii="仿宋_GB2312" w:hAnsi="仿宋_GB2312" w:cs="仿宋_GB2312" w:eastAsia="仿宋_GB2312"/>
                <w:sz w:val="20"/>
                <w:color w:val="000000"/>
              </w:rPr>
              <w:t>95%以上。</w:t>
            </w:r>
          </w:p>
          <w:p>
            <w:pPr>
              <w:pStyle w:val="null3"/>
              <w:ind w:firstLine="402"/>
              <w:jc w:val="both"/>
            </w:pPr>
            <w:r>
              <w:rPr>
                <w:rFonts w:ascii="仿宋_GB2312" w:hAnsi="仿宋_GB2312" w:cs="仿宋_GB2312" w:eastAsia="仿宋_GB2312"/>
                <w:sz w:val="20"/>
                <w:b/>
                <w:color w:val="000000"/>
              </w:rPr>
              <w:t>2.3 搬迁相关服务要求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1）搬迁前的维保服务：供应商在搬迁前对现有设备进行一次全面的健康检查，并提供设备清单和现状报告。</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2）搬迁过程中的支持：在搬迁过程中，提供全程技术指导服务，指导搬迁施工方完成搬迁工作，直至设备稳定运行。”</w:t>
            </w:r>
          </w:p>
          <w:p>
            <w:pPr>
              <w:pStyle w:val="null3"/>
              <w:ind w:firstLine="402"/>
              <w:jc w:val="both"/>
            </w:pPr>
            <w:r>
              <w:rPr>
                <w:rFonts w:ascii="仿宋_GB2312" w:hAnsi="仿宋_GB2312" w:cs="仿宋_GB2312" w:eastAsia="仿宋_GB2312"/>
                <w:sz w:val="20"/>
                <w:b/>
                <w:color w:val="000000"/>
              </w:rPr>
              <w:t>2.4 低价值备品备件</w:t>
            </w:r>
          </w:p>
          <w:p>
            <w:pPr>
              <w:pStyle w:val="null3"/>
              <w:ind w:firstLine="388"/>
              <w:jc w:val="both"/>
            </w:pPr>
            <w:r>
              <w:rPr>
                <w:rFonts w:ascii="仿宋_GB2312" w:hAnsi="仿宋_GB2312" w:cs="仿宋_GB2312" w:eastAsia="仿宋_GB2312"/>
                <w:sz w:val="20"/>
                <w:color w:val="000000"/>
              </w:rPr>
              <w:t>建立完善的备件库存体系，确保易损件的充足供应（包括但不限于监控硬盘、分配器、切换矩阵、拾音器、</w:t>
            </w:r>
            <w:r>
              <w:rPr>
                <w:rFonts w:ascii="仿宋_GB2312" w:hAnsi="仿宋_GB2312" w:cs="仿宋_GB2312" w:eastAsia="仿宋_GB2312"/>
                <w:sz w:val="20"/>
                <w:color w:val="000000"/>
              </w:rPr>
              <w:t>POE供电设备、光模块等），当设备需要更换零部件时，能够及时提供所需的备件，确保交易活动不中断。对于一些关键的设备，在设备维修期间，协调备机供客户临时使用，直到故障设备修复完毕。</w:t>
            </w:r>
          </w:p>
          <w:p>
            <w:pPr>
              <w:pStyle w:val="null3"/>
              <w:ind w:firstLine="390"/>
              <w:jc w:val="both"/>
            </w:pPr>
            <w:r>
              <w:rPr>
                <w:rFonts w:ascii="仿宋_GB2312" w:hAnsi="仿宋_GB2312" w:cs="仿宋_GB2312" w:eastAsia="仿宋_GB2312"/>
                <w:sz w:val="20"/>
                <w:b/>
                <w:color w:val="000000"/>
              </w:rPr>
              <w:t>2.5 其他配合保障</w:t>
            </w:r>
          </w:p>
          <w:p>
            <w:pPr>
              <w:pStyle w:val="null3"/>
              <w:ind w:firstLine="388"/>
              <w:jc w:val="both"/>
            </w:pPr>
            <w:r>
              <w:rPr>
                <w:rFonts w:ascii="仿宋_GB2312" w:hAnsi="仿宋_GB2312" w:cs="仿宋_GB2312" w:eastAsia="仿宋_GB2312"/>
                <w:sz w:val="20"/>
                <w:color w:val="000000"/>
              </w:rPr>
              <w:t>1.用户培训</w:t>
            </w:r>
          </w:p>
          <w:p>
            <w:pPr>
              <w:pStyle w:val="null3"/>
              <w:ind w:firstLine="388"/>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1）为监控室管理人员提供设备使用培训，讲解设备的操作方法、功能特点，并传授一些基本的维护技巧和故障排查方法，提高他们对设备的熟悉程度和使用技能。</w:t>
            </w:r>
          </w:p>
          <w:p>
            <w:pPr>
              <w:pStyle w:val="null3"/>
              <w:ind w:firstLine="388"/>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2）培训形式可以采用理论讲解、实际操作演示或案例分析等方式进行。</w:t>
            </w:r>
          </w:p>
          <w:p>
            <w:pPr>
              <w:pStyle w:val="null3"/>
              <w:ind w:firstLine="388"/>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3）培训资料、授课师资由供应商负责。</w:t>
            </w:r>
          </w:p>
          <w:p>
            <w:pPr>
              <w:pStyle w:val="null3"/>
              <w:ind w:firstLine="388"/>
              <w:jc w:val="both"/>
            </w:pPr>
            <w:r>
              <w:rPr>
                <w:rFonts w:ascii="仿宋_GB2312" w:hAnsi="仿宋_GB2312" w:cs="仿宋_GB2312" w:eastAsia="仿宋_GB2312"/>
                <w:sz w:val="20"/>
                <w:color w:val="000000"/>
              </w:rPr>
              <w:t>2.重大节日</w:t>
            </w:r>
            <w:r>
              <w:rPr>
                <w:rFonts w:ascii="仿宋_GB2312" w:hAnsi="仿宋_GB2312" w:cs="仿宋_GB2312" w:eastAsia="仿宋_GB2312"/>
                <w:sz w:val="20"/>
                <w:color w:val="000000"/>
              </w:rPr>
              <w:t>巡查</w:t>
            </w:r>
          </w:p>
          <w:p>
            <w:pPr>
              <w:pStyle w:val="null3"/>
              <w:ind w:firstLine="400"/>
              <w:jc w:val="both"/>
            </w:pPr>
            <w:r>
              <w:rPr>
                <w:rFonts w:ascii="仿宋_GB2312" w:hAnsi="仿宋_GB2312" w:cs="仿宋_GB2312" w:eastAsia="仿宋_GB2312"/>
                <w:sz w:val="20"/>
                <w:color w:val="000000"/>
              </w:rPr>
              <w:t>逢春节、五一、国庆等重大节日，驻场维保人员于节前最后一天、节日最后一天，对设备进行一次巡查，并做好巡查结果记录。</w:t>
            </w:r>
          </w:p>
          <w:p>
            <w:pPr>
              <w:pStyle w:val="null3"/>
              <w:ind w:firstLine="400"/>
              <w:jc w:val="both"/>
            </w:pPr>
            <w:r>
              <w:rPr>
                <w:rFonts w:ascii="仿宋_GB2312" w:hAnsi="仿宋_GB2312" w:cs="仿宋_GB2312" w:eastAsia="仿宋_GB2312"/>
                <w:sz w:val="20"/>
                <w:color w:val="000000"/>
              </w:rPr>
              <w:t>3.配合监控记录查询</w:t>
            </w:r>
          </w:p>
          <w:p>
            <w:pPr>
              <w:pStyle w:val="null3"/>
              <w:ind w:firstLine="400"/>
              <w:jc w:val="both"/>
            </w:pPr>
            <w:r>
              <w:rPr>
                <w:rFonts w:ascii="仿宋_GB2312" w:hAnsi="仿宋_GB2312" w:cs="仿宋_GB2312" w:eastAsia="仿宋_GB2312"/>
                <w:sz w:val="20"/>
                <w:color w:val="000000"/>
              </w:rPr>
              <w:t>配合纪律检查部门、业务监管部门的要求及中心业务部门的申请，对相关开标室、评标室、询标室等视频资料进行查询，必要时经中心同意刻录相关音视频资料。</w:t>
            </w:r>
          </w:p>
          <w:p>
            <w:pPr>
              <w:pStyle w:val="null3"/>
              <w:ind w:firstLine="400"/>
              <w:jc w:val="both"/>
            </w:pPr>
            <w:r>
              <w:rPr>
                <w:rFonts w:ascii="仿宋_GB2312" w:hAnsi="仿宋_GB2312" w:cs="仿宋_GB2312" w:eastAsia="仿宋_GB2312"/>
                <w:sz w:val="20"/>
                <w:color w:val="000000"/>
              </w:rPr>
              <w:t>4.技术热线支持</w:t>
            </w:r>
          </w:p>
          <w:p>
            <w:pPr>
              <w:pStyle w:val="null3"/>
              <w:ind w:firstLine="400"/>
              <w:jc w:val="both"/>
            </w:pPr>
            <w:r>
              <w:rPr>
                <w:rFonts w:ascii="仿宋_GB2312" w:hAnsi="仿宋_GB2312" w:cs="仿宋_GB2312" w:eastAsia="仿宋_GB2312"/>
                <w:sz w:val="20"/>
                <w:color w:val="000000"/>
              </w:rPr>
              <w:t>驻场服务时段以外，提供</w:t>
            </w:r>
            <w:r>
              <w:rPr>
                <w:rFonts w:ascii="仿宋_GB2312" w:hAnsi="仿宋_GB2312" w:cs="仿宋_GB2312" w:eastAsia="仿宋_GB2312"/>
                <w:sz w:val="20"/>
                <w:color w:val="000000"/>
              </w:rPr>
              <w:t>24小时技术热线支持，特殊情况根据采购人事前安排提供现场技术支持。</w:t>
            </w:r>
          </w:p>
          <w:p>
            <w:pPr>
              <w:pStyle w:val="null3"/>
              <w:ind w:firstLine="402"/>
              <w:jc w:val="both"/>
            </w:pPr>
            <w:r>
              <w:rPr>
                <w:rFonts w:ascii="仿宋_GB2312" w:hAnsi="仿宋_GB2312" w:cs="仿宋_GB2312" w:eastAsia="仿宋_GB2312"/>
                <w:sz w:val="20"/>
                <w:b/>
                <w:color w:val="000000"/>
              </w:rPr>
              <w:t>3 服务要求</w:t>
            </w:r>
          </w:p>
          <w:p>
            <w:pPr>
              <w:pStyle w:val="null3"/>
              <w:ind w:firstLine="402"/>
              <w:jc w:val="both"/>
            </w:pPr>
            <w:r>
              <w:rPr>
                <w:rFonts w:ascii="仿宋_GB2312" w:hAnsi="仿宋_GB2312" w:cs="仿宋_GB2312" w:eastAsia="仿宋_GB2312"/>
                <w:sz w:val="20"/>
                <w:b/>
                <w:color w:val="000000"/>
              </w:rPr>
              <w:t>3.1 人员要求</w:t>
            </w:r>
          </w:p>
          <w:p>
            <w:pPr>
              <w:pStyle w:val="null3"/>
              <w:ind w:firstLine="400"/>
              <w:jc w:val="both"/>
            </w:pPr>
            <w:r>
              <w:rPr>
                <w:rFonts w:ascii="仿宋_GB2312" w:hAnsi="仿宋_GB2312" w:cs="仿宋_GB2312" w:eastAsia="仿宋_GB2312"/>
                <w:sz w:val="20"/>
                <w:color w:val="000000"/>
              </w:rPr>
              <w:t>本项目需配备驻场维保人员</w:t>
            </w:r>
            <w:r>
              <w:rPr>
                <w:rFonts w:ascii="仿宋_GB2312" w:hAnsi="仿宋_GB2312" w:cs="仿宋_GB2312" w:eastAsia="仿宋_GB2312"/>
                <w:sz w:val="20"/>
                <w:color w:val="000000"/>
              </w:rPr>
              <w:t>3名，为采购人提供每周5×8小时驻场服务，保障监控丨系统稳定运行。驻场人员需具备：</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熟练掌握海康威视综合管理平台、服务器、存储设备、前端设备的组网搭建、安装配置、对接调试以及故障排查。取得海康威视工程师认证证书的优先。</w:t>
            </w:r>
          </w:p>
          <w:p>
            <w:pPr>
              <w:pStyle w:val="null3"/>
              <w:ind w:firstLine="400"/>
              <w:jc w:val="both"/>
            </w:pPr>
            <w:r>
              <w:rPr>
                <w:rFonts w:ascii="仿宋_GB2312" w:hAnsi="仿宋_GB2312" w:cs="仿宋_GB2312" w:eastAsia="仿宋_GB2312"/>
                <w:sz w:val="20"/>
                <w:color w:val="000000"/>
              </w:rPr>
              <w:t>2.熟练掌握拼接屏、LED屏的安装、调试以及故障排查。</w:t>
            </w:r>
          </w:p>
          <w:p>
            <w:pPr>
              <w:pStyle w:val="null3"/>
              <w:ind w:firstLine="400"/>
              <w:jc w:val="both"/>
            </w:pPr>
            <w:r>
              <w:rPr>
                <w:rFonts w:ascii="仿宋_GB2312" w:hAnsi="仿宋_GB2312" w:cs="仿宋_GB2312" w:eastAsia="仿宋_GB2312"/>
                <w:sz w:val="20"/>
                <w:color w:val="000000"/>
              </w:rPr>
              <w:t>3.具有2年及以上大型监控丨系统运维经验。</w:t>
            </w:r>
          </w:p>
          <w:p>
            <w:pPr>
              <w:pStyle w:val="null3"/>
              <w:ind w:firstLine="400"/>
              <w:jc w:val="both"/>
            </w:pPr>
            <w:r>
              <w:rPr>
                <w:rFonts w:ascii="仿宋_GB2312" w:hAnsi="仿宋_GB2312" w:cs="仿宋_GB2312" w:eastAsia="仿宋_GB2312"/>
                <w:sz w:val="20"/>
                <w:color w:val="000000"/>
              </w:rPr>
              <w:t>注：提供相关人员身份证扫描件、社保证明材料（社保须为投标供应商缴纳，第三方人事代理机构代为缴纳无效）、有效的资质证书扫描件。</w:t>
            </w:r>
          </w:p>
          <w:p>
            <w:pPr>
              <w:pStyle w:val="null3"/>
              <w:ind w:firstLine="402"/>
              <w:jc w:val="both"/>
            </w:pPr>
            <w:r>
              <w:rPr>
                <w:rFonts w:ascii="仿宋_GB2312" w:hAnsi="仿宋_GB2312" w:cs="仿宋_GB2312" w:eastAsia="仿宋_GB2312"/>
                <w:sz w:val="20"/>
                <w:b/>
                <w:color w:val="000000"/>
              </w:rPr>
              <w:t>3.2 管理要求</w:t>
            </w:r>
          </w:p>
          <w:p>
            <w:pPr>
              <w:pStyle w:val="null3"/>
              <w:ind w:firstLine="400"/>
              <w:jc w:val="both"/>
            </w:pPr>
            <w:r>
              <w:rPr>
                <w:rFonts w:ascii="仿宋_GB2312" w:hAnsi="仿宋_GB2312" w:cs="仿宋_GB2312" w:eastAsia="仿宋_GB2312"/>
                <w:sz w:val="20"/>
                <w:color w:val="000000"/>
              </w:rPr>
              <w:t>1.为保证驻场维保人员的稳定，供应商无特殊原因不得更换驻场维保人员，人员更换须提交书面申请，经采购人同意后方可进行。</w:t>
            </w:r>
          </w:p>
          <w:p>
            <w:pPr>
              <w:pStyle w:val="null3"/>
              <w:ind w:firstLine="400"/>
              <w:jc w:val="both"/>
            </w:pPr>
            <w:r>
              <w:rPr>
                <w:rFonts w:ascii="仿宋_GB2312" w:hAnsi="仿宋_GB2312" w:cs="仿宋_GB2312" w:eastAsia="仿宋_GB2312"/>
                <w:sz w:val="20"/>
                <w:color w:val="000000"/>
              </w:rPr>
              <w:t>2.驻场维保人员须服从采购人的管理，遵守采购人的考勤制度，无特殊原因不得擅自离岗，离岗须经采购人同意。</w:t>
            </w:r>
          </w:p>
          <w:p>
            <w:pPr>
              <w:pStyle w:val="null3"/>
              <w:ind w:firstLine="400"/>
              <w:jc w:val="both"/>
            </w:pPr>
            <w:r>
              <w:rPr>
                <w:rFonts w:ascii="仿宋_GB2312" w:hAnsi="仿宋_GB2312" w:cs="仿宋_GB2312" w:eastAsia="仿宋_GB2312"/>
                <w:sz w:val="20"/>
                <w:color w:val="000000"/>
              </w:rPr>
              <w:t>3.维保驻场人员须佩戴工作牌，在做好维保工作之余，配合完成采购人安排的临时任务。</w:t>
            </w:r>
          </w:p>
          <w:p>
            <w:pPr>
              <w:pStyle w:val="null3"/>
              <w:ind w:firstLine="400"/>
              <w:jc w:val="both"/>
            </w:pPr>
            <w:r>
              <w:rPr>
                <w:rFonts w:ascii="仿宋_GB2312" w:hAnsi="仿宋_GB2312" w:cs="仿宋_GB2312" w:eastAsia="仿宋_GB2312"/>
                <w:sz w:val="20"/>
                <w:color w:val="000000"/>
              </w:rPr>
              <w:t>4.采购人根据考核结果，有权要求供应商提高运维服务质量标准或更换驻场运维人员。接到采购人通知后，供应商应在3个工作日内将新任命的驻场运维人员信息或调整后的运维服务方案等工作计划以书面形式提交采购人审核，10个工作日内完成人员更换等调整工作。</w:t>
            </w:r>
          </w:p>
          <w:p>
            <w:pPr>
              <w:pStyle w:val="null3"/>
              <w:ind w:firstLine="390"/>
              <w:jc w:val="both"/>
            </w:pPr>
            <w:r>
              <w:rPr>
                <w:rFonts w:ascii="仿宋_GB2312" w:hAnsi="仿宋_GB2312" w:cs="仿宋_GB2312" w:eastAsia="仿宋_GB2312"/>
                <w:sz w:val="20"/>
                <w:b/>
                <w:color w:val="000000"/>
              </w:rPr>
              <w:t>3.3 成果交付要求</w:t>
            </w:r>
          </w:p>
          <w:p>
            <w:pPr>
              <w:pStyle w:val="null3"/>
              <w:ind w:firstLine="388"/>
              <w:jc w:val="both"/>
            </w:pPr>
            <w:r>
              <w:rPr>
                <w:rFonts w:ascii="仿宋_GB2312" w:hAnsi="仿宋_GB2312" w:cs="仿宋_GB2312" w:eastAsia="仿宋_GB2312"/>
                <w:sz w:val="20"/>
                <w:color w:val="000000"/>
              </w:rPr>
              <w:t>供应商应按照采购人的要求编制相关维护文档，维保服务文档（含纸质版和电子版）的提交应覆盖：</w:t>
            </w:r>
          </w:p>
          <w:p>
            <w:pPr>
              <w:pStyle w:val="null3"/>
              <w:ind w:firstLine="388"/>
              <w:jc w:val="both"/>
            </w:pPr>
            <w:r>
              <w:rPr>
                <w:rFonts w:ascii="仿宋_GB2312" w:hAnsi="仿宋_GB2312" w:cs="仿宋_GB2312" w:eastAsia="仿宋_GB2312"/>
                <w:sz w:val="20"/>
                <w:color w:val="000000"/>
              </w:rPr>
              <w:t>1.巡检报告，每季度巡检结束后3个工作日内提交；</w:t>
            </w:r>
          </w:p>
          <w:p>
            <w:pPr>
              <w:pStyle w:val="null3"/>
              <w:ind w:firstLine="388"/>
              <w:jc w:val="both"/>
            </w:pPr>
            <w:r>
              <w:rPr>
                <w:rFonts w:ascii="仿宋_GB2312" w:hAnsi="仿宋_GB2312" w:cs="仿宋_GB2312" w:eastAsia="仿宋_GB2312"/>
                <w:sz w:val="20"/>
                <w:color w:val="000000"/>
              </w:rPr>
              <w:t>2.故障处理报告，故障处理结束后3个工作日内提交，根据实际情况，不限定次数；</w:t>
            </w:r>
          </w:p>
          <w:p>
            <w:pPr>
              <w:pStyle w:val="null3"/>
              <w:ind w:firstLine="388"/>
              <w:jc w:val="both"/>
            </w:pPr>
            <w:r>
              <w:rPr>
                <w:rFonts w:ascii="仿宋_GB2312" w:hAnsi="仿宋_GB2312" w:cs="仿宋_GB2312" w:eastAsia="仿宋_GB2312"/>
                <w:sz w:val="20"/>
                <w:color w:val="000000"/>
              </w:rPr>
              <w:t>3.每月工作日志，至少包括设备异常情况描述、处理措施、处理结果，每月结束后3个工作日内提交；</w:t>
            </w:r>
          </w:p>
          <w:p>
            <w:pPr>
              <w:pStyle w:val="null3"/>
              <w:ind w:firstLine="388"/>
              <w:jc w:val="both"/>
            </w:pPr>
            <w:r>
              <w:rPr>
                <w:rFonts w:ascii="仿宋_GB2312" w:hAnsi="仿宋_GB2312" w:cs="仿宋_GB2312" w:eastAsia="仿宋_GB2312"/>
                <w:sz w:val="20"/>
                <w:color w:val="000000"/>
              </w:rPr>
              <w:t>4.维保建议及方案，根据实际需要，不限定次数。</w:t>
            </w:r>
          </w:p>
          <w:p>
            <w:pPr>
              <w:pStyle w:val="null3"/>
              <w:ind w:firstLine="388"/>
              <w:jc w:val="both"/>
            </w:pPr>
            <w:r>
              <w:rPr>
                <w:rFonts w:ascii="仿宋_GB2312" w:hAnsi="仿宋_GB2312" w:cs="仿宋_GB2312" w:eastAsia="仿宋_GB2312"/>
                <w:sz w:val="20"/>
                <w:color w:val="000000"/>
              </w:rPr>
              <w:t>5.维保手册：负责汇总整理监控丨系统所有信息，编制成维保手册交采购人留存。维保手册内容包括监控丨系统网络拓扑、硬件设备清单（设备类型、设备型号、数量、系统版本、IP、用途等）、设备管理账号及密码、常见故障处置方式等。自进场之日起第九周内，提供维保手册初稿，服务期满项目验收前提供终稿。</w:t>
            </w:r>
          </w:p>
          <w:p>
            <w:pPr>
              <w:pStyle w:val="null3"/>
              <w:ind w:firstLine="390"/>
              <w:jc w:val="both"/>
            </w:pPr>
            <w:r>
              <w:rPr>
                <w:rFonts w:ascii="仿宋_GB2312" w:hAnsi="仿宋_GB2312" w:cs="仿宋_GB2312" w:eastAsia="仿宋_GB2312"/>
                <w:sz w:val="20"/>
                <w:b/>
                <w:color w:val="000000"/>
              </w:rPr>
              <w:t>3.4.支付约定（因系统限制，付款条件及进度以此为准）</w:t>
            </w:r>
          </w:p>
          <w:p>
            <w:pPr>
              <w:pStyle w:val="null3"/>
              <w:ind w:firstLine="388"/>
              <w:jc w:val="both"/>
            </w:pPr>
            <w:r>
              <w:rPr>
                <w:rFonts w:ascii="仿宋_GB2312" w:hAnsi="仿宋_GB2312" w:cs="仿宋_GB2312" w:eastAsia="仿宋_GB2312"/>
                <w:sz w:val="20"/>
                <w:color w:val="000000"/>
              </w:rPr>
              <w:t>本合同生效后，达到付款条件起</w:t>
            </w:r>
            <w:r>
              <w:rPr>
                <w:rFonts w:ascii="仿宋_GB2312" w:hAnsi="仿宋_GB2312" w:cs="仿宋_GB2312" w:eastAsia="仿宋_GB2312"/>
                <w:sz w:val="20"/>
                <w:color w:val="000000"/>
              </w:rPr>
              <w:t>15日内，支付合同总金额的30.00%；服务期满半年，且财政预算批复后，达到付款条件起15日内，支付合同总金额的20.00%；服务期届满，且乙方完成全部服务内容，经最终验收合格后，达到付款条件起15日内，支付合同总金额的50.00%。</w:t>
            </w:r>
          </w:p>
          <w:p>
            <w:pPr>
              <w:pStyle w:val="null3"/>
            </w:pPr>
            <w:r>
              <w:rPr>
                <w:rFonts w:ascii="仿宋_GB2312" w:hAnsi="仿宋_GB2312" w:cs="仿宋_GB2312" w:eastAsia="仿宋_GB2312"/>
                <w:sz w:val="20"/>
                <w:color w:val="000000"/>
              </w:rPr>
              <w:t>若合同提前终止，双方应按照实际服务时长进行结算，服务费计算公式为：（合同总金额</w:t>
            </w:r>
            <w:r>
              <w:rPr>
                <w:rFonts w:ascii="仿宋_GB2312" w:hAnsi="仿宋_GB2312" w:cs="仿宋_GB2312" w:eastAsia="仿宋_GB2312"/>
                <w:sz w:val="20"/>
                <w:color w:val="000000"/>
              </w:rPr>
              <w:t>/12个月）×实际服务月数。除上述费用外，采购方无需就合同提前终止向服务方支付任何其他补偿、赔偿或违约金。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暂定1年，因本合同所涉监控设备发生重大变更（包括但不限于单位搬迁、设备停机、设备报废等），采购人有权根据实际情况需要，依据设备数量增减情况签订补充合同或提前终止合同。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1、维保服务期满后，采购人、供应商双方根据合同约定共同进行验收（必要时可邀请有关专家进行系统验收）。 2、验收依据： （1）磋商文件、响应文件及合同文本。 （2）国家和行业制定的相应标准和规范。 （3）供应商出具的维保服务自检报告。 3、验收合格后，采购人、供应商双方填写项目验收单作为对维保服务的最终认可。 4、供应商向采购人提交维保服务实施过程中的所有资料，以便采购人日后管理和维护。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服务期满半年，且财政预算批复后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服务期届满，且乙方完成全部服务内容，经最终验收合格后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1、合同违约责任按《中华人民共和国政府采购法》中的相关条款执行。 2、供应商未全面履行合同义务或发生违约，采购人有权终止合同，并依法向供应商进行经济索赔。 3、供应商违约责任 供应商出现以下几种情况之一（拒绝按照磋商文件要求签订合同、未按合同约定提供服务、所提供服务不能满足采购人要求、季度考核得分低于70分），采购人有权向上级政府采购管理部门申请取消供应商中标资格或解除合同，供应商应在采购人解除合同之日起7个工作日内返还采购人所支付全部款项，并按合同总价款的20%向采购人支付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季度考核：采购人每季度对供应商开展一次运维服务考核，考核内容包括日常服务及故障处理、应急保障、技术支援、系统巡检、运维报告、文档管理、服务质量、服务效果、工作规范、工作纪律等方面，考核结果根据得分情况划为良好、合格、一般三个等次。（2）年度考核：年度运维服务考核根据季度运维服务考核结果计算得分，即：年度考核得分=全年季度考核得分总和÷4。（3）考核得分：90分及以上为“良好”、80-89分为“合格”、70-79分为“一般”。 （4）运维服务期间，采购人有权根据考核结果和实际工作需要，对运维服务考核标准及相关管理规定进行变更。服务期满后，采购人根据全年考核打分结果组织验收。验收合格后，由供应商提出书面申请，采购人按照考核等次对应的付款比例退付履约保证金：良好等次为100%、合格等次为90%、一般等次为80%。（5）运维服务考核打分表模板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 1、具有独立承担民事责任的能力（企业法人应提供统 一社会信用代码的营业执照；事业法人应提供 事业单位法人证、组织机构代码证等证明文件 ；其他组织应提供合法证明文件；自然人提供身份证明文件）； 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会保障资金、免税或无须缴纳税款的供应商，应提供相关证明文件)；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 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商务及服务要求偏离表.docx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商务及服务要求偏离表.docx 服务方案及供应商认为有必要提供的其他内容.docx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项目的背景与理解</w:t>
            </w:r>
          </w:p>
        </w:tc>
        <w:tc>
          <w:tcPr>
            <w:tcW w:type="dxa" w:w="2492"/>
          </w:tcPr>
          <w:p>
            <w:pPr>
              <w:pStyle w:val="null3"/>
            </w:pPr>
            <w:r>
              <w:rPr>
                <w:rFonts w:ascii="仿宋_GB2312" w:hAnsi="仿宋_GB2312" w:cs="仿宋_GB2312" w:eastAsia="仿宋_GB2312"/>
              </w:rPr>
              <w:t>针对本项目需求理解和总体认识（包括但不限于对项目背景与理解、项目现状调查分析、项目工作目标、服务内容的认识等）方面进行综合打分。 对项目背景、服务目标的认识准确，理解程度高得4分； 对项目背景、服务目标的认识相对准确，理解程度相对到位，得3分； 对项目背景、服务目标的认识相对不足，得2分； 对项目背景、服务目标的认识有欠缺，得1分；未提供相关内容不得分。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针对本项目的维护保养范围计划清晰、合理，并能及时响应和积极配合采购人的有关要求等，综合对比评价： 方案全面、具体、可行、科学合理，得8分； 方案比较全面、具体、可行、科学合理，得7分；方案相对全面、具体、合理，得6分； 方案基本全面、具体、合理，得5分；方案简单，描述不够清晰，得4分； 方案存在一定缺漏，得3分； 方案存在较多缺漏，合理性差，得2分；方案存在重大缺漏，无合理性，得1分；未提供相关内容不得分。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供应商日常维修保养制度与操作规范及针对本项目制定的相关措施： 方案全面、具体、可行、科学合理，得8分； 方案比较全面、具体、可行、科学合理，得7分；方案相对全面、具体、合理，得6分； 方案基本全面、具体、合理，得5分；方案简单，描述不够清晰，得4分； 方案存在一定缺漏，得3分； 方案存在较多缺漏，合理性差，得2分；方案存在重大缺漏，无合理性，得1分；未提供相关内容不得分。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针对突发事件有具体可行的应急措施和解决方案。方案全面、具体、可行、科学合理，得8分； 方案比较全面、具体、可行、科学合理，得7分；方案相对全面、具体、合理，得6分； 方案基本全面、具体、合理，得5分；方案简单，描述不够清晰，得4分； 方案存在一定缺漏，得3分； 方案存在较多缺漏，合理性差，得2分；方案存在重大缺漏，无合理性，得1分；未提供相关内容不得分。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维保流程管理、数据归档等制度</w:t>
            </w:r>
          </w:p>
        </w:tc>
        <w:tc>
          <w:tcPr>
            <w:tcW w:type="dxa" w:w="2492"/>
          </w:tcPr>
          <w:p>
            <w:pPr>
              <w:pStyle w:val="null3"/>
            </w:pPr>
            <w:r>
              <w:rPr>
                <w:rFonts w:ascii="仿宋_GB2312" w:hAnsi="仿宋_GB2312" w:cs="仿宋_GB2312" w:eastAsia="仿宋_GB2312"/>
              </w:rPr>
              <w:t>具有科学、规范的维保流程管理、数据归档等制度管理制度全面、合理、规范，可操作性强得8分；管理制度比较合理和规范，可操作性较强得7分；管理制度相对合理，可操作性相对较强得6分； 管理制度基本合理，有一定的可操作性得5分；管理制度、可操作性简单得4分； 管理制度简略，不全面，可操作性不强得3分；管理制度存在缺漏，可操作性差得2分； 管理制度有较大缺漏，无可操作性得1分；未提供相关内容不得分。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拟投入本项目人员配备方案</w:t>
            </w:r>
          </w:p>
        </w:tc>
        <w:tc>
          <w:tcPr>
            <w:tcW w:type="dxa" w:w="2492"/>
          </w:tcPr>
          <w:p>
            <w:pPr>
              <w:pStyle w:val="null3"/>
            </w:pPr>
            <w:r>
              <w:rPr>
                <w:rFonts w:ascii="仿宋_GB2312" w:hAnsi="仿宋_GB2312" w:cs="仿宋_GB2312" w:eastAsia="仿宋_GB2312"/>
              </w:rPr>
              <w:t>拟投入人员配备合理，职责明确，拟派人员均有丰富的工作经验得6分； 拟投入人员配备比较合理，职责明确，拟派人员均有比较丰富的工作经验得5分； 拟投入人员配备相对合理，拟派人员均有相对丰富的工作经验得 4分； 拟投入人员配备基本合理，拟派人员均有一定的工作经验得3分；拟投入人员配备不合理，拟派人员经验不足得2分； 拟投入人员配备有缺漏，拟派人员经验不足得1分；未提供相关内容不得分。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拟投入本项目维保设备</w:t>
            </w:r>
          </w:p>
        </w:tc>
        <w:tc>
          <w:tcPr>
            <w:tcW w:type="dxa" w:w="2492"/>
          </w:tcPr>
          <w:p>
            <w:pPr>
              <w:pStyle w:val="null3"/>
            </w:pPr>
            <w:r>
              <w:rPr>
                <w:rFonts w:ascii="仿宋_GB2312" w:hAnsi="仿宋_GB2312" w:cs="仿宋_GB2312" w:eastAsia="仿宋_GB2312"/>
              </w:rPr>
              <w:t>拟投入本项目维保设备、维保物料能满足日常和紧急维保需求设备、物料品种丰富，能够满足日常维保需求，得3分； 设备、物料品种较多，能满足常见的维保需求，得2分；设备、物料品种单一，得1分。 未提供相关内容不得分。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对本项目情况提出难点、重点进行分析并提出控制措施，分析内容准确，控制措施合理得7分； 分析内容比较准确，控制措施比较合理得6分； 分析内容相对准确，控制措施相对较合理得5分；分析内容基本准确，控制措施基本合理得4分； 分析内容和控制措施简陋，指导性不足得3分；分析内容有缺漏，指导性差得2分； 分析内容有重大缺漏，无指导性得1分；未提供相关内容不得分。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紧急维修服务方案</w:t>
            </w:r>
          </w:p>
        </w:tc>
        <w:tc>
          <w:tcPr>
            <w:tcW w:type="dxa" w:w="2492"/>
          </w:tcPr>
          <w:p>
            <w:pPr>
              <w:pStyle w:val="null3"/>
            </w:pPr>
            <w:r>
              <w:rPr>
                <w:rFonts w:ascii="仿宋_GB2312" w:hAnsi="仿宋_GB2312" w:cs="仿宋_GB2312" w:eastAsia="仿宋_GB2312"/>
              </w:rPr>
              <w:t>提供7*24小时紧急维修服务方案、承诺及保障措施 措施详细完整、可行性、针对性强，能高质量的确保项目服务质量，得6分； 保障措施比较完整，可行性及针对性较强以保证项目质量，得5分； 保障措施相对完整，有一定的可行性及针对性以保证项目质量，得4分； 保障措施基本完整、可行，得3分； 保障措施简略、可行性存在不足，得2分； 保障措施存在漏洞、合理性、可行性差，得1分；未提供相关内容不得分。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 措施详细完整、可行性、针对性强，能高质量的确保项目服务质量，得6分； 保障措施比较完整，可行性及针对性较强以保证项目质量，得5分； 保障措施相对完整，有一定的可行性及针对性以保证项目质量，得4分； 保障措施基本完整、可行，得3分； 保障措施简略、可行性存在不足，得2分； 保障措施存在漏洞、合理性、可行性差，得1分；未提供相关内容不得分。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供应商具有完善的培训方案，对服务人员进行专业化培训，有完善的服务业务培训管理制度，提供较好的理论与实战相结合的培训内容。 方案全面、合理、规范，可操作性强得8分； 方案比较全面、合理、规范，可操作性较强得7分；方案相对全面、合理，可操作性相对较强得6分； 方案基本合理，有一定的可操作性得5分；方案简单、笼统，有可操作性得4分； 方案比较简略，可操作性略有欠缺得3分；方案有缺漏，可操作性差得2分； 方案有重大缺漏，无可操作性得1分；未提供相关内容不得分。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针对本项目实际需求，提供提出有利于采购人降低成本、提高服务质量的合理化建议。 建议内容科学可行，有针对性且内容丰富，得4分；建议内容较为可行，针对性较强，得3分； 建议内容基本可行，具有一定的针对性，得2分；建议内容存在漏洞，不具备针对性，得1分；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具有科学、合理、可行的保密措施，保证采购人的相关信息不被泄漏， 保密措施完整、合理，可操作性强得4分；保密措施比较完整，可操作性较强得3分； 保密措施基本完整，有一定可操作性得2分； 保密措施不够完整，可操作性差得1分；未提供相关内容不得分。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提供2022年1月1日至本项目公告发布之日签订的同类项目业绩（以合同及采购人服务评价表（或验收单）为准），每份有效业绩合同得2分，满分10分。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 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详见附件：服务方案及供应商认为有必要提供的其他内容.docx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详见附件：商务及服务要求偏离表.docx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