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版本号：SYZB-2025-055-120251107001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“十五五”再生水利用规划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SYZB-2025-055-1</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“十五五”再生水利用规划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SYZB-2025-055-1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“十五五”再生水利用规划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西安市城市再生水利用“十五五”规划》编制，包括现场勘察、再生水潜在用户摸底、基础资料收集、整理，再生水利用现状调查分析，对存在的问题进行剖析，对“十五五”及中长期再生水利用发展进行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3、税收缴纳证明：提供2025年1月1日至今已缴纳的至少一个月的纳税证明或完税证明，依法免税的单位应提供相关证明材料，提供复印件并进行电子签章。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2）供应商须具有工程设计市政行业乙级及以上或工程设计市政行业(燃气工程、轨道交通工程除外)乙级及以上或工程设计市政行业给水工程专业乙级及以上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（5）不接受联合体磋商（需提供声明并进行电子签章）。（6）项目负责人需具备注册公用设备工程师（给水排水）资格且在本单位注册。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发改价格〔2015〕299号文件通知规定计取，不足陆仟按陆仟元整计取。中标（成交）供应商在领取中标（成交）通知书前，须一次性向采购代理机构支付中标（成交）代理服务费。 户名：陕西朔宇项目管理有限公司 税　　号：91610 131MA 6W2H6 618 单位地址：陕西省西安市莲湖区丰禾路251号鑫苑中心10层1016室 电话号码：029-86103830 开户银行：中国农业银行股份有限公司陕西自贸区西安唐延南路支行 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通过市水务局组织的专家评审及验收。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 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西安市城市再生水利用“十五五”规划》编制，包括现场勘察、再生水潜在用户摸底、基础资料收集、整理，再生水利用现状调查分析，对存在的问题进行剖析，对“十五五”及中长期再生水利用发展进行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《西安市城市再生水利用“十五五”规划》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标的名称：《西安市城市再生水利用“十五五”规划》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西安市城市再生水利用现状和存在问题进行分析，对各行业“十五五”期间再生水需求进行预测，科学合理制定“十五五”期间再生水利用目标，对再生水设施（厂、管网、泵站，取水点等）进行规划，明确“十五五”期间再生水利用的重点工作任务、再生水项目实施计划，同时远期规划至2035年。最终形成内容详实、各类数据准确、规划目标科学合理，具有高度可行性的规划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通过专家评审及市水务局验收。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合同签订后30日内，采购方向供应商支付25万元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规划通过市水务局组织的专家评审及验收合格后30日内，支付剩余尾款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按《中华人民共和国民法典》中的相关条款执行。未按合同要求时限内完成，采购方有权终止合同，并对成交单位违约行为进行追究，同时按《政府采购法》的有关规定进行处罚。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参加采购活动前三年内在经营活动中没有重大违法记录的书面声明.docx 组织机构.docx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参与的供应商（联合体）服务全部由符合政策要求的企业承接。</w:t>
            </w:r>
          </w:p>
        </w:tc>
        <w:tc>
          <w:tcPr>
            <w:tcW w:type="dxa" w:w="1661"/>
          </w:tcPr>
          <w:p>
            <w:pPr>
              <w:pStyle w:val="null3"/>
            </w:pPr>
            <w:r>
              <w:rPr>
                <w:rFonts w:ascii="仿宋_GB2312" w:hAnsi="仿宋_GB2312" w:cs="仿宋_GB2312" w:eastAsia="仿宋_GB2312"/>
              </w:rPr>
              <w:t>监狱企业的证明文件.docx 中小企业声明函 残疾人福利性单位声明函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2）供应商须具有工程设计市政行业乙级及以上或工程设计市政行业(燃气工程、轨道交通工程除外)乙级及以上或工程设计市政行业给水工程专业乙级及以上资质；（3）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4）采购人、采购代理机构将于本项目截止当日在“国家企业信用信息公示系统”网站对供应商进行信息进行查询，查询结果留存。单位负责人为同一人或者存在直接控股、管理关系的不同供应商，参与本项目的将被拒绝; （5）不接受联合体磋商（需提供声明并进行电子签章）。（6）项目负责人需具备注册公用设备工程师（给水排水）资格且在本单位注册。</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非联合体磋商声明.docx 法定代表人证明书与法定代表人授权书.docx 标的清单 承诺书.docx 报价表 服务内容及服务邀请应答表.docx 商务应答表.docx 响应函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法定代表人证明书与法定代表人授权书.docx 承诺书.docx 响应报价表.docx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监狱企业的证明文件.docx 参加采购活动前三年内在经营活动中没有重大违法记录的书面声明.docx 中小企业声明函 残疾人福利性单位声明函 法定代表人证明书与法定代表人授权书.docx 承诺书.docx 陕西省政府采购供应商拒绝政府采购领域商业贿赂承诺书.docx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规划大纲</w:t>
            </w:r>
          </w:p>
        </w:tc>
        <w:tc>
          <w:tcPr>
            <w:tcW w:type="dxa" w:w="2492"/>
          </w:tcPr>
          <w:p>
            <w:pPr>
              <w:pStyle w:val="null3"/>
            </w:pPr>
            <w:r>
              <w:rPr>
                <w:rFonts w:ascii="仿宋_GB2312" w:hAnsi="仿宋_GB2312" w:cs="仿宋_GB2312" w:eastAsia="仿宋_GB2312"/>
              </w:rPr>
              <w:t>①符合国家相关要求，内容全面完整，科学合理，语言通顺简练，具有较强的针对性和适宜性，得（20.0-30.0]； ②规划大纲符合国家相关要求，内容基本齐全，语言表述基本清晰，只存在个别不影响整体质量的缺陷，得（10.0-20.0]； ③规划大纲基本符合国家相关要求，局部内容有少量欠缺，语言表述存在个别不清晰现象，得（5.0-10.0]。 ④规划大纲存在多处不符合相关要求，内容及设计存在严重缺陷，得[1.0-5.0]。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①项目质量管理体系健全，质量保障措施得当、有针对性，得（8-10]分； ②项目质量管理体系基本健全，进度保障措施基本得当、基本有针对性，得（6-8]分； ③项目质量管理体系及进度保障措施存在不足，得（3-6]分； ④项目质量管理体系及进度保障措施多处不符合项目实际，得[0-3]分。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①能够按时完成项目各项任务，且项目进度计划符合实际、科学完整，保证措施严谨、周密，得（8-10]分； ②能够按时完成各项任务，且项目进度计划安排合理，保证措施得当、可操作，得（6-8]分； ③能够完成按时完成各项任务，但进度计划安排存在局部不足，保证措施有缺漏，但基本可行，得（3-6]分； ④能够按时完成各项任务，但进度计划安排不符合实际要求，存在严重不足，保证措施多处有较大的缺陷，可行性差，得[0-3]分。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①保密制度健全、措施具体可行，得（6.0-8.0]； ②基本健全、措施基本可行，得（3.0-6.0]； ③保密措施有明显缺陷，得[0-3.0]。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项目组人员结构</w:t>
            </w:r>
          </w:p>
        </w:tc>
        <w:tc>
          <w:tcPr>
            <w:tcW w:type="dxa" w:w="2492"/>
          </w:tcPr>
          <w:p>
            <w:pPr>
              <w:pStyle w:val="null3"/>
            </w:pPr>
            <w:r>
              <w:rPr>
                <w:rFonts w:ascii="仿宋_GB2312" w:hAnsi="仿宋_GB2312" w:cs="仿宋_GB2312" w:eastAsia="仿宋_GB2312"/>
              </w:rPr>
              <w:t>①搭配合理、满足项目需求，总体实力较强，项目负责人具备注册公用设备工程师（给水排水）资格且在本单位注册，且项目参与人员中级职称10人以上（提供社保证明），同时具有给水排水等相关专业职称，得（8.0-10.0]； ②搭配基本合理，可满足项目需求，项目负责人具备注册公用设备工程师（给水排水）资格且在本单位注册，且项目参与人员中级职称6人以上（提供社保证明），同时具有给水排水等相关专业，得（5.0-8.0]； ③搭配基本合理，难以满足项目需求，项目负责人具备注册公用设备工程师（给水排水）资格且在本单位注册，且项目参与人员中级职称3人以上（提供社保证明），同时具有给水排水等相关专业，得[0-5.0]。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配合服务承诺</w:t>
            </w:r>
          </w:p>
        </w:tc>
        <w:tc>
          <w:tcPr>
            <w:tcW w:type="dxa" w:w="2492"/>
          </w:tcPr>
          <w:p>
            <w:pPr>
              <w:pStyle w:val="null3"/>
            </w:pPr>
            <w:r>
              <w:rPr>
                <w:rFonts w:ascii="仿宋_GB2312" w:hAnsi="仿宋_GB2312" w:cs="仿宋_GB2312" w:eastAsia="仿宋_GB2312"/>
              </w:rPr>
              <w:t>①针对项目提出的服务承诺安排科学，服务周全，得（7.0-10.0]； ②针对项目提出的服务承诺安排及服务一般，得（3.0-7.0]； ③针对项目提出的服务承诺安排及服务较差，得[0-3.0]。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近五年（2020年1月1日起至今）承担过类似业绩，每有一项得3分，最多得12分。注：以合同协议书或中标通知书为准。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