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版本号：CT-ZB00-319-202520251211001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呼吸与危重症科装修改造工程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CT-ZB00-319-2025</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呼吸与危重症科装修改造工程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CT-ZB00-319-2025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呼吸与危重症科装修改造工程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西安市第五医院呼吸与危重症科装修改造工程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采购包1（呼吸与危重症科装修改造工程）：属于专门面向小微企业采购。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授权书及被授权人身份证复印件：法定代表人直接参加投标的，须出具法人身份证，并与营业执照上信息一致。法定代表人授权代表参加投标的，须出具法定代表人授权书及授权代表身份证，供应商授权代表提供本单位社保证明材料（至少提供投标文件递交截止之日前近一年内至少3个月的社保缴纳证明）。</w:t>
      </w:r>
    </w:p>
    <w:p>
      <w:pPr>
        <w:pStyle w:val="null3"/>
      </w:pPr>
      <w:r>
        <w:rPr>
          <w:rFonts w:ascii="仿宋_GB2312" w:hAnsi="仿宋_GB2312" w:cs="仿宋_GB2312" w:eastAsia="仿宋_GB2312"/>
        </w:rPr>
        <w:t>3、社会保障资金缴纳证明：供应商提供近一年内至少3个月的社保缴纳证明，其他组织形式供应商（如个体工商户、合作社、自然人等）可提供法人或负责人个人一年内至少3个月的社保资金缴纳证明材料。</w:t>
      </w:r>
    </w:p>
    <w:p>
      <w:pPr>
        <w:pStyle w:val="null3"/>
      </w:pPr>
      <w:r>
        <w:rPr>
          <w:rFonts w:ascii="仿宋_GB2312" w:hAnsi="仿宋_GB2312" w:cs="仿宋_GB2312" w:eastAsia="仿宋_GB2312"/>
        </w:rPr>
        <w:t>4、税收缴纳证明：提提供近一年内至少3个月的纳税证明或完税证明，纳税证明或完税证明上应有代收机构或税务机关的公章或业务专用章；其他组织和自然人提供投标一年内至少3个月缴纳税收的凭据；依法免税的供应商应提供相关文件证明。</w:t>
      </w:r>
    </w:p>
    <w:p>
      <w:pPr>
        <w:pStyle w:val="null3"/>
      </w:pPr>
      <w:r>
        <w:rPr>
          <w:rFonts w:ascii="仿宋_GB2312" w:hAnsi="仿宋_GB2312" w:cs="仿宋_GB2312" w:eastAsia="仿宋_GB2312"/>
        </w:rPr>
        <w:t>5、财务状况证明：提供2024年度经审计的完整的财务报告（成立时间至递交响应文件截止时间不足一年的可提供成立后任意时段的资产负债表），或递交响应文件截止时间前六个月内基本账户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6、信用记录：根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磋商。</w:t>
      </w:r>
    </w:p>
    <w:p>
      <w:pPr>
        <w:pStyle w:val="null3"/>
      </w:pPr>
      <w:r>
        <w:rPr>
          <w:rFonts w:ascii="仿宋_GB2312" w:hAnsi="仿宋_GB2312" w:cs="仿宋_GB2312" w:eastAsia="仿宋_GB2312"/>
        </w:rPr>
        <w:t>7、专业资质：建筑装修装饰工程专业承包二级及以上资质</w:t>
      </w:r>
    </w:p>
    <w:p>
      <w:pPr>
        <w:pStyle w:val="null3"/>
      </w:pPr>
      <w:r>
        <w:rPr>
          <w:rFonts w:ascii="仿宋_GB2312" w:hAnsi="仿宋_GB2312" w:cs="仿宋_GB2312" w:eastAsia="仿宋_GB2312"/>
        </w:rPr>
        <w:t>8、拟派项目经理资质和专业要求：具有建筑工程专业二级及以上注册建造师执业资格，并具有合法有效的安全生产考核合格证（建安B证），须在本单位注册，无不良信用记录，且未担任其他在建工程项目的项目经理，提供无在建工程承诺书和投标截止时间前12个月内任意三个月份在本单位缴纳社保证明材料。</w:t>
      </w:r>
    </w:p>
    <w:p>
      <w:pPr>
        <w:pStyle w:val="null3"/>
      </w:pPr>
      <w:r>
        <w:rPr>
          <w:rFonts w:ascii="仿宋_GB2312" w:hAnsi="仿宋_GB2312" w:cs="仿宋_GB2312" w:eastAsia="仿宋_GB2312"/>
        </w:rPr>
        <w:t>9、供应商无重大违法记录：供应商需提供《供应商无重大违法记录的书面声明》完成承诺。</w:t>
      </w:r>
    </w:p>
    <w:p>
      <w:pPr>
        <w:pStyle w:val="null3"/>
      </w:pPr>
      <w:r>
        <w:rPr>
          <w:rFonts w:ascii="仿宋_GB2312" w:hAnsi="仿宋_GB2312" w:cs="仿宋_GB2312" w:eastAsia="仿宋_GB2312"/>
        </w:rPr>
        <w:t>10、建筑企业信息查询：供应商及拟派项目经理须在“陕西省住房和城乡建设厅”官网可查询。如供应商为外省进陕企业，还须同时提供“陕西省住房和城乡建设厅”官网企业库外省进陕施工企业信息首页截图。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11、履约能力证明：供应商需提供《具有履行合同所必需的设备和专业技术能力的承诺书》完成承诺。</w:t>
      </w:r>
    </w:p>
    <w:p>
      <w:pPr>
        <w:pStyle w:val="null3"/>
      </w:pPr>
      <w:r>
        <w:rPr>
          <w:rFonts w:ascii="仿宋_GB2312" w:hAnsi="仿宋_GB2312" w:cs="仿宋_GB2312" w:eastAsia="仿宋_GB2312"/>
        </w:rPr>
        <w:t>12、其它要求：投标供应商单位负责人为同一人或者存在直接控股、管理关系的不同供应商，不得参加同一项目或同一标段的政府采购活动。</w:t>
      </w:r>
    </w:p>
    <w:p>
      <w:pPr>
        <w:pStyle w:val="null3"/>
      </w:pPr>
      <w:r>
        <w:rPr>
          <w:rFonts w:ascii="仿宋_GB2312" w:hAnsi="仿宋_GB2312" w:cs="仿宋_GB2312" w:eastAsia="仿宋_GB2312"/>
        </w:rPr>
        <w:t>13、是否联合体：本项目不接受联合体投标（投标供应商自行出具非联合体投标声明）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袁珍 、王超、王涛、李博飞、秦瑶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18792921252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采购包1：1,601,318.06元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代理服务费收费标准：1、成交单位在领取成交通知书前，须向采购代理机构支付代理服务费。 2、代理服务费依据国家和发展改革委员会办公厅颁发的《关于招标代理服务收费有关问题的通知》（发改办价格[2003] 857号）及《国家计委关于印发&lt;招标代理服务收费管理暂行办法&gt;的通知》（计价格[2002]1980号）文件规定标准的基础上下附25％（成交金额 50 万（不含）以下的项目不下浮）。 开户银行：中国建设银行股份有限公司西安文景路支行 账 号：61050178150000000278 账 户 名：中昕国际项目管理有限公司 联 系 人：袁珍</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踏勘时间：2025-12-23 09:30:00</w:t>
            </w:r>
          </w:p>
          <w:p>
            <w:pPr>
              <w:pStyle w:val="null3"/>
              <w:ind w:firstLine="975"/>
            </w:pPr>
            <w:r>
              <w:rPr>
                <w:rFonts w:ascii="仿宋_GB2312" w:hAnsi="仿宋_GB2312" w:cs="仿宋_GB2312" w:eastAsia="仿宋_GB2312"/>
              </w:rPr>
              <w:t>踏勘地点：西安市第五医院招标办</w:t>
            </w:r>
          </w:p>
          <w:p>
            <w:pPr>
              <w:pStyle w:val="null3"/>
              <w:ind w:firstLine="975"/>
            </w:pPr>
            <w:r>
              <w:rPr>
                <w:rFonts w:ascii="仿宋_GB2312" w:hAnsi="仿宋_GB2312" w:cs="仿宋_GB2312" w:eastAsia="仿宋_GB2312"/>
              </w:rPr>
              <w:t>联系人：袁珍</w:t>
            </w:r>
          </w:p>
          <w:p>
            <w:pPr>
              <w:pStyle w:val="null3"/>
              <w:ind w:firstLine="975"/>
            </w:pPr>
            <w:r>
              <w:rPr>
                <w:rFonts w:ascii="仿宋_GB2312" w:hAnsi="仿宋_GB2312" w:cs="仿宋_GB2312" w:eastAsia="仿宋_GB2312"/>
              </w:rPr>
              <w:t>联系电话号码：18792921252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联系人：袁珍</w:t>
      </w:r>
    </w:p>
    <w:p>
      <w:pPr>
        <w:pStyle w:val="null3"/>
      </w:pPr>
      <w:r>
        <w:rPr>
          <w:rFonts w:ascii="仿宋_GB2312" w:hAnsi="仿宋_GB2312" w:cs="仿宋_GB2312" w:eastAsia="仿宋_GB2312"/>
        </w:rPr>
        <w:t>联系电话：18792921252</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1,601,318.06</w:t>
      </w:r>
    </w:p>
    <w:p>
      <w:pPr>
        <w:pStyle w:val="null3"/>
      </w:pPr>
      <w:r>
        <w:rPr>
          <w:rFonts w:ascii="仿宋_GB2312" w:hAnsi="仿宋_GB2312" w:cs="仿宋_GB2312" w:eastAsia="仿宋_GB2312"/>
        </w:rPr>
        <w:t>采购包最高限价（元）: 1,601,318.06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呼吸与危重症科装修改造工程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1,601,318.06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标的名称：呼吸与危重症科装修改造工程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工程内容：按照图纸要求对病区进行装饰装修及改造。</w:t>
            </w:r>
          </w:p>
          <w:p>
            <w:pPr>
              <w:pStyle w:val="null3"/>
            </w:pPr>
            <w:r>
              <w:rPr>
                <w:rFonts w:ascii="仿宋_GB2312" w:hAnsi="仿宋_GB2312" w:cs="仿宋_GB2312" w:eastAsia="仿宋_GB2312"/>
              </w:rPr>
              <w:t>（</w:t>
            </w:r>
            <w:r>
              <w:rPr>
                <w:rFonts w:ascii="仿宋_GB2312" w:hAnsi="仿宋_GB2312" w:cs="仿宋_GB2312" w:eastAsia="仿宋_GB2312"/>
              </w:rPr>
              <w:t>1）西安市第五医院呼吸与危重症科装修改造工程，需对病区地面、墙面、顶面、门、上下水（包含洁具更换）、对病区线路更换及消防设施改造等。</w:t>
            </w:r>
          </w:p>
          <w:p>
            <w:pPr>
              <w:pStyle w:val="null3"/>
            </w:pPr>
            <w:r>
              <w:rPr>
                <w:rFonts w:ascii="仿宋_GB2312" w:hAnsi="仿宋_GB2312" w:cs="仿宋_GB2312" w:eastAsia="仿宋_GB2312"/>
              </w:rPr>
              <w:t>（</w:t>
            </w:r>
            <w:r>
              <w:rPr>
                <w:rFonts w:ascii="仿宋_GB2312" w:hAnsi="仿宋_GB2312" w:cs="仿宋_GB2312" w:eastAsia="仿宋_GB2312"/>
              </w:rPr>
              <w:t>2）施工完成后应对</w:t>
            </w:r>
            <w:r>
              <w:rPr>
                <w:rFonts w:ascii="仿宋_GB2312" w:hAnsi="仿宋_GB2312" w:cs="仿宋_GB2312" w:eastAsia="仿宋_GB2312"/>
              </w:rPr>
              <w:t>呼吸与危重症科</w:t>
            </w:r>
            <w:r>
              <w:rPr>
                <w:rFonts w:ascii="仿宋_GB2312" w:hAnsi="仿宋_GB2312" w:cs="仿宋_GB2312" w:eastAsia="仿宋_GB2312"/>
              </w:rPr>
              <w:t>进行空气质量检测，检测内容包括氡、甲醛、氨、苯、甲苯、二甲苯和总挥发性有机化合物。每层检测抽检量不得少于房间总数的</w:t>
            </w:r>
            <w:r>
              <w:rPr>
                <w:rFonts w:ascii="仿宋_GB2312" w:hAnsi="仿宋_GB2312" w:cs="仿宋_GB2312" w:eastAsia="仿宋_GB2312"/>
              </w:rPr>
              <w:t>50%,当房间总数少于3间时，应全数检测。</w:t>
            </w:r>
            <w:r>
              <w:rPr>
                <w:rFonts w:ascii="仿宋_GB2312" w:hAnsi="仿宋_GB2312" w:cs="仿宋_GB2312" w:eastAsia="仿宋_GB2312"/>
              </w:rPr>
              <w:t>检测机构由成交供应商委托并报采购人同意后方可入场，费用包含在合同价款中。</w:t>
            </w:r>
            <w:r>
              <w:rPr>
                <w:rFonts w:ascii="仿宋_GB2312" w:hAnsi="仿宋_GB2312" w:cs="仿宋_GB2312" w:eastAsia="仿宋_GB2312"/>
              </w:rPr>
              <w:t>检测报应告由第三方检测机构出具，检测结果符合国家规定方可验收。</w:t>
            </w:r>
          </w:p>
          <w:p>
            <w:pPr>
              <w:pStyle w:val="null3"/>
            </w:pPr>
            <w:r>
              <w:rPr>
                <w:rFonts w:ascii="仿宋_GB2312" w:hAnsi="仿宋_GB2312" w:cs="仿宋_GB2312" w:eastAsia="仿宋_GB2312"/>
              </w:rPr>
              <w:t>（</w:t>
            </w:r>
            <w:r>
              <w:rPr>
                <w:rFonts w:ascii="仿宋_GB2312" w:hAnsi="仿宋_GB2312" w:cs="仿宋_GB2312" w:eastAsia="仿宋_GB2312"/>
              </w:rPr>
              <w:t>3）呼吸与危重症科装修改造面积约880平方米。</w:t>
            </w:r>
          </w:p>
          <w:p>
            <w:pPr>
              <w:pStyle w:val="null3"/>
              <w:jc w:val="left"/>
            </w:pPr>
            <w:r>
              <w:rPr>
                <w:rFonts w:ascii="仿宋_GB2312" w:hAnsi="仿宋_GB2312" w:cs="仿宋_GB2312" w:eastAsia="仿宋_GB2312"/>
                <w:sz w:val="20"/>
                <w:b/>
                <w:color w:val="000000"/>
              </w:rPr>
              <w:t>二、工程内容和施工地点、计划工期、缺陷责任期、质量保修期</w:t>
            </w:r>
          </w:p>
          <w:p>
            <w:pPr>
              <w:pStyle w:val="null3"/>
            </w:pPr>
            <w:r>
              <w:rPr>
                <w:rFonts w:ascii="仿宋_GB2312" w:hAnsi="仿宋_GB2312" w:cs="仿宋_GB2312" w:eastAsia="仿宋_GB2312"/>
                <w:sz w:val="21"/>
              </w:rPr>
              <w:t>（</w:t>
            </w:r>
            <w:r>
              <w:rPr>
                <w:rFonts w:ascii="仿宋_GB2312" w:hAnsi="仿宋_GB2312" w:cs="仿宋_GB2312" w:eastAsia="仿宋_GB2312"/>
                <w:sz w:val="21"/>
              </w:rPr>
              <w:t>1）工程内容：按照图纸要求对病区进行装饰装修及改造。</w:t>
            </w:r>
          </w:p>
          <w:p>
            <w:pPr>
              <w:pStyle w:val="null3"/>
            </w:pPr>
            <w:r>
              <w:rPr>
                <w:rFonts w:ascii="仿宋_GB2312" w:hAnsi="仿宋_GB2312" w:cs="仿宋_GB2312" w:eastAsia="仿宋_GB2312"/>
                <w:sz w:val="21"/>
              </w:rPr>
              <w:t>（</w:t>
            </w:r>
            <w:r>
              <w:rPr>
                <w:rFonts w:ascii="仿宋_GB2312" w:hAnsi="仿宋_GB2312" w:cs="仿宋_GB2312" w:eastAsia="仿宋_GB2312"/>
                <w:sz w:val="21"/>
              </w:rPr>
              <w:t>2）工程地点：西安市第五医院。</w:t>
            </w:r>
          </w:p>
          <w:p>
            <w:pPr>
              <w:pStyle w:val="null3"/>
            </w:pPr>
            <w:r>
              <w:rPr>
                <w:rFonts w:ascii="仿宋_GB2312" w:hAnsi="仿宋_GB2312" w:cs="仿宋_GB2312" w:eastAsia="仿宋_GB2312"/>
                <w:sz w:val="21"/>
              </w:rPr>
              <w:t>（</w:t>
            </w:r>
            <w:r>
              <w:rPr>
                <w:rFonts w:ascii="仿宋_GB2312" w:hAnsi="仿宋_GB2312" w:cs="仿宋_GB2312" w:eastAsia="仿宋_GB2312"/>
                <w:sz w:val="21"/>
              </w:rPr>
              <w:t>3）计划工期：工期90个日历日内竣工。以甲方的开工报告为准，工期不变。</w:t>
            </w:r>
          </w:p>
          <w:p>
            <w:pPr>
              <w:pStyle w:val="null3"/>
            </w:pPr>
            <w:r>
              <w:rPr>
                <w:rFonts w:ascii="仿宋_GB2312" w:hAnsi="仿宋_GB2312" w:cs="仿宋_GB2312" w:eastAsia="仿宋_GB2312"/>
                <w:sz w:val="21"/>
              </w:rPr>
              <w:t>(4）缺陷责任期：2年</w:t>
            </w:r>
          </w:p>
          <w:p>
            <w:pPr>
              <w:pStyle w:val="null3"/>
            </w:pPr>
            <w:r>
              <w:rPr>
                <w:rFonts w:ascii="仿宋_GB2312" w:hAnsi="仿宋_GB2312" w:cs="仿宋_GB2312" w:eastAsia="仿宋_GB2312"/>
                <w:sz w:val="21"/>
              </w:rPr>
              <w:t>(5）质量保修期：2年</w:t>
            </w:r>
          </w:p>
          <w:p>
            <w:pPr>
              <w:pStyle w:val="null3"/>
              <w:jc w:val="left"/>
            </w:pPr>
            <w:r>
              <w:rPr>
                <w:rFonts w:ascii="仿宋_GB2312" w:hAnsi="仿宋_GB2312" w:cs="仿宋_GB2312" w:eastAsia="仿宋_GB2312"/>
                <w:sz w:val="20"/>
                <w:b/>
                <w:color w:val="000000"/>
              </w:rPr>
              <w:t>三、工程量清单和计价依据</w:t>
            </w:r>
          </w:p>
          <w:p>
            <w:pPr>
              <w:pStyle w:val="null3"/>
              <w:jc w:val="both"/>
            </w:pPr>
            <w:r>
              <w:rPr>
                <w:rFonts w:ascii="仿宋_GB2312" w:hAnsi="仿宋_GB2312" w:cs="仿宋_GB2312" w:eastAsia="仿宋_GB2312"/>
                <w:sz w:val="21"/>
              </w:rPr>
              <w:t>1.见工程量清单。</w:t>
            </w:r>
          </w:p>
          <w:p>
            <w:pPr>
              <w:pStyle w:val="null3"/>
              <w:jc w:val="both"/>
            </w:pPr>
            <w:r>
              <w:rPr>
                <w:rFonts w:ascii="仿宋_GB2312" w:hAnsi="仿宋_GB2312" w:cs="仿宋_GB2312" w:eastAsia="仿宋_GB2312"/>
                <w:sz w:val="21"/>
              </w:rPr>
              <w:t>2.最高限价1601318.06元（含税、含拆除、含垃圾清运）。</w:t>
            </w:r>
          </w:p>
          <w:p>
            <w:pPr>
              <w:pStyle w:val="null3"/>
              <w:spacing w:after="120"/>
              <w:jc w:val="both"/>
            </w:pPr>
            <w:r>
              <w:rPr>
                <w:rFonts w:ascii="仿宋_GB2312" w:hAnsi="仿宋_GB2312" w:cs="仿宋_GB2312" w:eastAsia="仿宋_GB2312"/>
                <w:sz w:val="21"/>
              </w:rPr>
              <w:t>3.提供</w:t>
            </w:r>
            <w:r>
              <w:rPr>
                <w:rFonts w:ascii="仿宋_GB2312" w:hAnsi="仿宋_GB2312" w:cs="仿宋_GB2312" w:eastAsia="仿宋_GB2312"/>
                <w:sz w:val="21"/>
              </w:rPr>
              <w:t>呼吸与危重症科</w:t>
            </w:r>
            <w:r>
              <w:rPr>
                <w:rFonts w:ascii="仿宋_GB2312" w:hAnsi="仿宋_GB2312" w:cs="仿宋_GB2312" w:eastAsia="仿宋_GB2312"/>
                <w:sz w:val="21"/>
              </w:rPr>
              <w:t>装修改造工程报价清单。</w:t>
            </w:r>
          </w:p>
          <w:p>
            <w:pPr>
              <w:pStyle w:val="null3"/>
              <w:jc w:val="left"/>
            </w:pPr>
            <w:r>
              <w:rPr>
                <w:rFonts w:ascii="仿宋_GB2312" w:hAnsi="仿宋_GB2312" w:cs="仿宋_GB2312" w:eastAsia="仿宋_GB2312"/>
                <w:sz w:val="20"/>
                <w:b/>
                <w:color w:val="000000"/>
              </w:rPr>
              <w:t>四、施工要求</w:t>
            </w:r>
          </w:p>
          <w:p>
            <w:pPr>
              <w:pStyle w:val="null3"/>
              <w:jc w:val="both"/>
            </w:pPr>
            <w:r>
              <w:rPr>
                <w:rFonts w:ascii="仿宋_GB2312" w:hAnsi="仿宋_GB2312" w:cs="仿宋_GB2312" w:eastAsia="仿宋_GB2312"/>
                <w:sz w:val="20"/>
              </w:rPr>
              <w:t>1、在施工期间，中标供应商必须注意院内人员安全，加强安全防护措施，并对施工人员进行安全教育。施工人员必须持证上岗。因采购人工作的特殊性，要求中标供应商在施工中做到封闭性施工。</w:t>
            </w:r>
          </w:p>
          <w:p>
            <w:pPr>
              <w:pStyle w:val="null3"/>
              <w:jc w:val="both"/>
            </w:pPr>
            <w:r>
              <w:rPr>
                <w:rFonts w:ascii="仿宋_GB2312" w:hAnsi="仿宋_GB2312" w:cs="仿宋_GB2312" w:eastAsia="仿宋_GB2312"/>
                <w:sz w:val="20"/>
              </w:rPr>
              <w:t>2、隐蔽工程在隐蔽前须进行分项验收，验收合格后乙方留存相关照片及资料。</w:t>
            </w:r>
          </w:p>
          <w:p>
            <w:pPr>
              <w:pStyle w:val="null3"/>
            </w:pPr>
            <w:r>
              <w:rPr>
                <w:rFonts w:ascii="仿宋_GB2312" w:hAnsi="仿宋_GB2312" w:cs="仿宋_GB2312" w:eastAsia="仿宋_GB2312"/>
                <w:sz w:val="20"/>
              </w:rPr>
              <w:t>3、材质要求：供应商投标时需提供市场中上等及以上档次材料附详细分项报价表（表中含名称、规格型号、品牌、数量、产地、单价等），并经采购人认可方可施工。</w:t>
            </w:r>
          </w:p>
          <w:p>
            <w:pPr>
              <w:pStyle w:val="null3"/>
            </w:pPr>
            <w:r>
              <w:rPr>
                <w:rFonts w:ascii="仿宋_GB2312" w:hAnsi="仿宋_GB2312" w:cs="仿宋_GB2312" w:eastAsia="仿宋_GB2312"/>
                <w:sz w:val="20"/>
              </w:rPr>
              <w:t>（</w:t>
            </w:r>
            <w:r>
              <w:rPr>
                <w:rFonts w:ascii="仿宋_GB2312" w:hAnsi="仿宋_GB2312" w:cs="仿宋_GB2312" w:eastAsia="仿宋_GB2312"/>
                <w:sz w:val="20"/>
              </w:rPr>
              <w:t>1）工程所有材料质量必须符合国家标准和行业标准，并具有合格证或检验证；</w:t>
            </w:r>
          </w:p>
          <w:p>
            <w:pPr>
              <w:pStyle w:val="null3"/>
            </w:pPr>
            <w:r>
              <w:rPr>
                <w:rFonts w:ascii="仿宋_GB2312" w:hAnsi="仿宋_GB2312" w:cs="仿宋_GB2312" w:eastAsia="仿宋_GB2312"/>
                <w:sz w:val="20"/>
              </w:rPr>
              <w:t>（</w:t>
            </w:r>
            <w:r>
              <w:rPr>
                <w:rFonts w:ascii="仿宋_GB2312" w:hAnsi="仿宋_GB2312" w:cs="仿宋_GB2312" w:eastAsia="仿宋_GB2312"/>
                <w:sz w:val="20"/>
              </w:rPr>
              <w:t>2）所有进场材料须提供符合环保检测标准的相关证明文件，无法提供相关证明资料的可由采购人委托具备检测资质的第三方单位进行环保检测，产品检测不合格的，甲方有权要求供应商进行限期整改并报复检，检测及复检费用由供应商承担。进场材料检测合格后方可投入使用。</w:t>
            </w:r>
          </w:p>
          <w:p>
            <w:pPr>
              <w:pStyle w:val="null3"/>
            </w:pPr>
            <w:r>
              <w:rPr>
                <w:rFonts w:ascii="仿宋_GB2312" w:hAnsi="仿宋_GB2312" w:cs="仿宋_GB2312" w:eastAsia="仿宋_GB2312"/>
                <w:sz w:val="20"/>
              </w:rPr>
              <w:t>4、在施工期间，中标供应商必须注意院内人员安全，加强安全防护及警示措施，并对施工人员进行安全教育。施工人员必须持证上岗。因采购人工作的特殊性，要求中标供应商在施工中做到封闭性施工。</w:t>
            </w:r>
          </w:p>
          <w:p>
            <w:pPr>
              <w:pStyle w:val="null3"/>
            </w:pPr>
            <w:r>
              <w:rPr>
                <w:rFonts w:ascii="仿宋_GB2312" w:hAnsi="仿宋_GB2312" w:cs="仿宋_GB2312" w:eastAsia="仿宋_GB2312"/>
                <w:sz w:val="20"/>
              </w:rPr>
              <w:t>5、隐蔽工程在隐蔽前须进行分项验收，验收合格后乙方留存相关照片及资料。</w:t>
            </w:r>
          </w:p>
          <w:p>
            <w:pPr>
              <w:pStyle w:val="null3"/>
              <w:jc w:val="left"/>
            </w:pPr>
            <w:r>
              <w:rPr>
                <w:rFonts w:ascii="仿宋_GB2312" w:hAnsi="仿宋_GB2312" w:cs="仿宋_GB2312" w:eastAsia="仿宋_GB2312"/>
                <w:sz w:val="20"/>
                <w:b/>
              </w:rPr>
              <w:t>五、商务要求</w:t>
            </w:r>
          </w:p>
          <w:p>
            <w:pPr>
              <w:pStyle w:val="null3"/>
              <w:jc w:val="left"/>
            </w:pPr>
            <w:r>
              <w:rPr>
                <w:rFonts w:ascii="仿宋_GB2312" w:hAnsi="仿宋_GB2312" w:cs="仿宋_GB2312" w:eastAsia="仿宋_GB2312"/>
                <w:sz w:val="20"/>
              </w:rPr>
              <w:t xml:space="preserve"> 1、支付方式：银行转账</w:t>
            </w:r>
          </w:p>
          <w:p>
            <w:pPr>
              <w:pStyle w:val="null3"/>
            </w:pPr>
            <w:r>
              <w:rPr>
                <w:rFonts w:ascii="仿宋_GB2312" w:hAnsi="仿宋_GB2312" w:cs="仿宋_GB2312" w:eastAsia="仿宋_GB2312"/>
                <w:sz w:val="20"/>
              </w:rPr>
              <w:t>第一次付款；</w:t>
            </w:r>
            <w:r>
              <w:rPr>
                <w:rFonts w:ascii="仿宋_GB2312" w:hAnsi="仿宋_GB2312" w:cs="仿宋_GB2312" w:eastAsia="仿宋_GB2312"/>
                <w:sz w:val="20"/>
              </w:rPr>
              <w:t>工程竣工验收合格后，收到发票之日起，</w:t>
            </w:r>
            <w:r>
              <w:rPr>
                <w:rFonts w:ascii="仿宋_GB2312" w:hAnsi="仿宋_GB2312" w:cs="仿宋_GB2312" w:eastAsia="仿宋_GB2312"/>
                <w:sz w:val="20"/>
              </w:rPr>
              <w:t>10个工作日内支付合同价款的70%；</w:t>
            </w:r>
          </w:p>
          <w:p>
            <w:pPr>
              <w:pStyle w:val="null3"/>
            </w:pPr>
            <w:r>
              <w:rPr>
                <w:rFonts w:ascii="仿宋_GB2312" w:hAnsi="仿宋_GB2312" w:cs="仿宋_GB2312" w:eastAsia="仿宋_GB2312"/>
                <w:sz w:val="20"/>
              </w:rPr>
              <w:t>第二次付款：乙方报送整体竣工资料，配合甲方完成审计，剩余款项待甲方完成审计后，收到发票之日起，</w:t>
            </w:r>
            <w:r>
              <w:rPr>
                <w:rFonts w:ascii="仿宋_GB2312" w:hAnsi="仿宋_GB2312" w:cs="仿宋_GB2312" w:eastAsia="仿宋_GB2312"/>
                <w:sz w:val="20"/>
              </w:rPr>
              <w:t>10个工作日内，支付至审计总价款的97%；</w:t>
            </w:r>
          </w:p>
          <w:p>
            <w:pPr>
              <w:pStyle w:val="null3"/>
            </w:pPr>
            <w:r>
              <w:rPr>
                <w:rFonts w:ascii="仿宋_GB2312" w:hAnsi="仿宋_GB2312" w:cs="仿宋_GB2312" w:eastAsia="仿宋_GB2312"/>
                <w:sz w:val="20"/>
              </w:rPr>
              <w:t>第三次付款：留审计后总款项的</w:t>
            </w:r>
            <w:r>
              <w:rPr>
                <w:rFonts w:ascii="仿宋_GB2312" w:hAnsi="仿宋_GB2312" w:cs="仿宋_GB2312" w:eastAsia="仿宋_GB2312"/>
                <w:sz w:val="20"/>
              </w:rPr>
              <w:t>3%，二年后无质量问题，收到发票之日起，10个工作日内一次性付清。</w:t>
            </w:r>
          </w:p>
          <w:p>
            <w:pPr>
              <w:pStyle w:val="null3"/>
            </w:pPr>
            <w:r>
              <w:rPr>
                <w:rFonts w:ascii="仿宋_GB2312" w:hAnsi="仿宋_GB2312" w:cs="仿宋_GB2312" w:eastAsia="仿宋_GB2312"/>
                <w:sz w:val="20"/>
              </w:rPr>
              <w:t>2、质量保证</w:t>
            </w:r>
          </w:p>
          <w:p>
            <w:pPr>
              <w:pStyle w:val="null3"/>
              <w:ind w:right="420"/>
              <w:jc w:val="both"/>
            </w:pPr>
            <w:r>
              <w:rPr>
                <w:rFonts w:ascii="仿宋_GB2312" w:hAnsi="仿宋_GB2312" w:cs="仿宋_GB2312" w:eastAsia="仿宋_GB2312"/>
                <w:sz w:val="20"/>
              </w:rPr>
              <w:t>（一）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w:t>
            </w:r>
            <w:r>
              <w:rPr>
                <w:rFonts w:ascii="仿宋_GB2312" w:hAnsi="仿宋_GB2312" w:cs="仿宋_GB2312" w:eastAsia="仿宋_GB2312"/>
                <w:sz w:val="20"/>
              </w:rPr>
              <w:t>10天，视为乙方根本违约，甲方有权单方解除合同，合同自书面解除通知送达乙方之日解除，乙方除应赔偿由此给甲方造成的全部损失外，还应按照合同总价的30%承担违约金。</w:t>
            </w:r>
          </w:p>
          <w:p>
            <w:pPr>
              <w:pStyle w:val="null3"/>
              <w:ind w:right="420"/>
              <w:jc w:val="both"/>
            </w:pPr>
            <w:r>
              <w:rPr>
                <w:rFonts w:ascii="仿宋_GB2312" w:hAnsi="仿宋_GB2312" w:cs="仿宋_GB2312" w:eastAsia="仿宋_GB2312"/>
                <w:sz w:val="20"/>
              </w:rPr>
              <w:t>（二）乙方应妥善保护甲方提供的设备及现场放置的陈设、工程成品，如造成损失，乙方照价赔偿。</w:t>
            </w:r>
          </w:p>
          <w:p>
            <w:pPr>
              <w:pStyle w:val="null3"/>
              <w:ind w:right="420"/>
              <w:jc w:val="both"/>
            </w:pPr>
            <w:r>
              <w:rPr>
                <w:rFonts w:ascii="仿宋_GB2312" w:hAnsi="仿宋_GB2312" w:cs="仿宋_GB2312" w:eastAsia="仿宋_GB2312"/>
                <w:sz w:val="20"/>
              </w:rPr>
              <w:t>（三）未经甲方书面同意，乙方擅自拆改原有建筑物的结构或设备管线，由此发生的损失或事故（包括罚款），由乙方负责并承担全部责任。</w:t>
            </w:r>
          </w:p>
          <w:p>
            <w:pPr>
              <w:pStyle w:val="null3"/>
              <w:ind w:right="420"/>
              <w:jc w:val="both"/>
            </w:pPr>
            <w:r>
              <w:rPr>
                <w:rFonts w:ascii="仿宋_GB2312" w:hAnsi="仿宋_GB2312" w:cs="仿宋_GB2312" w:eastAsia="仿宋_GB2312"/>
                <w:sz w:val="20"/>
              </w:rPr>
              <w:t xml:space="preserve">    3、质保期</w:t>
            </w:r>
          </w:p>
          <w:p>
            <w:pPr>
              <w:pStyle w:val="null3"/>
              <w:ind w:right="420"/>
              <w:jc w:val="both"/>
            </w:pPr>
            <w:r>
              <w:rPr>
                <w:rFonts w:ascii="仿宋_GB2312" w:hAnsi="仿宋_GB2312" w:cs="仿宋_GB2312" w:eastAsia="仿宋_GB2312"/>
                <w:sz w:val="20"/>
              </w:rPr>
              <w:t>按《建设工程质量管理条例》第三十二条规定：施工单位对施工中出现质量问题的建设工程或者竣工验收不合格的建设工程，应当负责返修且工期不顺延，由此产生的费用及造成的损失，乙方自行承担。自验收合格起之日两年，根据成交单位响应文件，合同未约定质保事项以《房屋建筑工程质量保修办法》为准。</w:t>
            </w:r>
          </w:p>
          <w:p>
            <w:pPr>
              <w:pStyle w:val="null3"/>
              <w:jc w:val="left"/>
            </w:pPr>
            <w:r>
              <w:rPr>
                <w:rFonts w:ascii="仿宋_GB2312" w:hAnsi="仿宋_GB2312" w:cs="仿宋_GB2312" w:eastAsia="仿宋_GB2312"/>
                <w:sz w:val="20"/>
                <w:b/>
              </w:rPr>
              <w:t>六、其他</w:t>
            </w:r>
          </w:p>
          <w:p>
            <w:pPr>
              <w:pStyle w:val="null3"/>
              <w:ind w:right="420"/>
              <w:jc w:val="both"/>
            </w:pPr>
            <w:r>
              <w:rPr>
                <w:rFonts w:ascii="仿宋_GB2312" w:hAnsi="仿宋_GB2312" w:cs="仿宋_GB2312" w:eastAsia="仿宋_GB2312"/>
                <w:sz w:val="20"/>
              </w:rPr>
              <w:t>（</w:t>
            </w:r>
            <w:r>
              <w:rPr>
                <w:rFonts w:ascii="仿宋_GB2312" w:hAnsi="仿宋_GB2312" w:cs="仿宋_GB2312" w:eastAsia="仿宋_GB2312"/>
                <w:sz w:val="20"/>
              </w:rPr>
              <w:t>1）质量验收标准或规范现行的国家标准或国家行政部门颁布的法律法规、规章制度等。</w:t>
            </w:r>
          </w:p>
          <w:p>
            <w:pPr>
              <w:pStyle w:val="null3"/>
              <w:ind w:right="420"/>
              <w:jc w:val="both"/>
            </w:pPr>
            <w:r>
              <w:rPr>
                <w:rFonts w:ascii="仿宋_GB2312" w:hAnsi="仿宋_GB2312" w:cs="仿宋_GB2312" w:eastAsia="仿宋_GB2312"/>
                <w:sz w:val="20"/>
              </w:rPr>
              <w:t>（</w:t>
            </w:r>
            <w:r>
              <w:rPr>
                <w:rFonts w:ascii="仿宋_GB2312" w:hAnsi="仿宋_GB2312" w:cs="仿宋_GB2312" w:eastAsia="仿宋_GB2312"/>
                <w:sz w:val="20"/>
              </w:rPr>
              <w:t>2）违约责任</w:t>
            </w:r>
          </w:p>
          <w:p>
            <w:pPr>
              <w:pStyle w:val="null3"/>
              <w:ind w:right="420"/>
              <w:jc w:val="both"/>
            </w:pPr>
            <w:r>
              <w:rPr>
                <w:rFonts w:ascii="仿宋_GB2312" w:hAnsi="仿宋_GB2312" w:cs="仿宋_GB2312" w:eastAsia="仿宋_GB2312"/>
                <w:sz w:val="20"/>
              </w:rPr>
              <w:t>1.按《中华人民共和国民法典》中的相关条款执行。</w:t>
            </w:r>
          </w:p>
          <w:p>
            <w:pPr>
              <w:pStyle w:val="null3"/>
            </w:pPr>
            <w:r>
              <w:rPr>
                <w:rFonts w:ascii="仿宋_GB2312" w:hAnsi="仿宋_GB2312" w:cs="仿宋_GB2312" w:eastAsia="仿宋_GB2312"/>
                <w:sz w:val="20"/>
              </w:rPr>
              <w:t>2.未按合同要求提供，质量不能满足技术要求的，甲方会同政府采购机构有权终止合同（合同自书面通知送达乙方之日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1、在施工期间，成交供应商必须注意院内人员安全，加强安全防护措施，并对施工人员进行安全教育。施工人员必须持证上岗。因采购人工作的特殊性，要求中标供应商在施工中做到封闭性施工。 2、隐蔽工程在隐蔽前须进行分项验收，验收合格后乙方留存相关照片及资料。3、材质要求：供应商投标时需提供市场中上等及以上档次材料附详细分项报价表（表中含名称、规格型号、品牌、数量、产地、单价等），并经采购人认可方可施工。 （1）工程所有材料质量必须符合国家标准和行业标准，并具有合格证或检验证； （2）所有进场材料须提供符合环保检测标准的相关证明文件，无法提供相关证明资料的可由采购人委托具备检测资质的第三方单位进行环保检测，产品检测不合格的，甲方有权要求供应商进行限期整改并报复检，检测及复检费用由供应商承担。进场材料检测合格后方可投入使用。 4、在施工期间，中标供应商必须注意院内人员安全，加强安全防护及警示措施，并对施工人员进行安全教育。施工人员必须持证上岗。因采购人工作的特殊性，要求中标供应商在施工中做到封闭性施工。 5、隐蔽工程在隐蔽前须进行分项验收，验收合格后乙方留存相关照片及资料。</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本项目通过电子化交易系统协商，供应商需在电子化交易系统上传响应的文件。成交供应商领取中标（成交）通知书时，向采购代理机构提供一正三副纸质响应文件及电子版1份。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供应商授权代表提供本单位社保证明材料（至少提供投标文件递交截止之日前近一年内至少3个月的社保缴纳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供应商提供近一年内至少3个月的社保缴纳证明，其他组织形式供应商（如个体工商户、合作社、自然人等）可提供法人或负责人个人一年内至少3个月的社保资金缴纳证明材料。</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提供近一年内至少3个月的纳税证明或完税证明，纳税证明或完税证明上应有代收机构或税务机关的公章或业务专用章；其他组织和自然人提供投标一年内至少3个月缴纳税收的凭据；依法免税的供应商应提供相关文件证明。</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完整的财务报告（成立时间至递交响应文件截止时间不足一年的可提供成立后任意时段的资产负债表），或递交响应文件截止时间前六个月内基本账户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文件要求，采购人或采购代理机构将通过“信用中国”网站（www.creditchina.gov.cn）和“中国政府采购网”（www.ccgp.gov.cn）在评审资格条件时查询供应商信用记录，被列入失信被执行人、重大税收违法失信主体、政府采购严重违法失信行为记录名单的单位将被拒绝参与本项目磋商。</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建筑装修装饰工程专业承包二级及以上资质</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具有建筑工程专业二级及以上注册建造师执业资格，并具有合法有效的安全生产考核合格证（建安B证），须在本单位注册，无不良信用记录，且未担任其他在建工程项目的项目经理，提供无在建工程承诺书和投标截止时间前12个月内任意三个月份在本单位缴纳社保证明材料。</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供应商无重大违法记录</w:t>
            </w:r>
          </w:p>
        </w:tc>
        <w:tc>
          <w:tcPr>
            <w:tcW w:type="dxa" w:w="3322"/>
          </w:tcPr>
          <w:p>
            <w:pPr>
              <w:pStyle w:val="null3"/>
            </w:pPr>
            <w:r>
              <w:rPr>
                <w:rFonts w:ascii="仿宋_GB2312" w:hAnsi="仿宋_GB2312" w:cs="仿宋_GB2312" w:eastAsia="仿宋_GB2312"/>
              </w:rPr>
              <w:t>供应商需提供《供应商无重大违法记录的书面声明》完成承诺。</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建筑企业信息查询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其它要求</w:t>
            </w:r>
          </w:p>
        </w:tc>
        <w:tc>
          <w:tcPr>
            <w:tcW w:type="dxa" w:w="3322"/>
          </w:tcPr>
          <w:p>
            <w:pPr>
              <w:pStyle w:val="null3"/>
            </w:pPr>
            <w:r>
              <w:rPr>
                <w:rFonts w:ascii="仿宋_GB2312" w:hAnsi="仿宋_GB2312" w:cs="仿宋_GB2312" w:eastAsia="仿宋_GB2312"/>
              </w:rPr>
              <w:t>投标供应商单位负责人为同一人或者存在直接控股、管理关系的不同供应商，不得参加同一项目或同一标段的政府采购活动。</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是否联合体</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资格证明文件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已标价工程量清单 方案 中小企业声明函 业绩 承诺书 供应商应提交的相关资格证明材料 其他 拟投入主要材料、设备品牌表 技术、商务响应偏离表 响应文件封面 资格证明文件 项目管理机构组成表 残疾人福利性单位声明函 报价函 标的清单 人员配备表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已标价工程量清单 方案 中小企业声明函 业绩 承诺书 供应商应提交的相关资格证明材料 其他 拟投入主要材料、设备品牌表 技术、商务响应偏离表 响应文件封面 资格证明文件 项目管理机构组成表 残疾人福利性单位声明函 报价函 标的清单 人员配备表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招标文件中特别标明或说明的内容为实质性要求，如不满足要求，则按无效标处理。</w:t>
            </w:r>
          </w:p>
        </w:tc>
        <w:tc>
          <w:tcPr>
            <w:tcW w:type="dxa" w:w="1661"/>
          </w:tcPr>
          <w:p>
            <w:pPr>
              <w:pStyle w:val="null3"/>
            </w:pPr>
            <w:r>
              <w:rPr>
                <w:rFonts w:ascii="仿宋_GB2312" w:hAnsi="仿宋_GB2312" w:cs="仿宋_GB2312" w:eastAsia="仿宋_GB2312"/>
              </w:rPr>
              <w:t>响应文件封面 技术、商务响应偏离表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响应文件封面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商务条款不允许负偏离</w:t>
            </w:r>
          </w:p>
        </w:tc>
        <w:tc>
          <w:tcPr>
            <w:tcW w:type="dxa" w:w="1661"/>
          </w:tcPr>
          <w:p>
            <w:pPr>
              <w:pStyle w:val="null3"/>
            </w:pPr>
            <w:r>
              <w:rPr>
                <w:rFonts w:ascii="仿宋_GB2312" w:hAnsi="仿宋_GB2312" w:cs="仿宋_GB2312" w:eastAsia="仿宋_GB2312"/>
              </w:rPr>
              <w:t>响应文件封面 技术、商务响应偏离表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利益关系承诺函</w:t>
            </w:r>
          </w:p>
        </w:tc>
        <w:tc>
          <w:tcPr>
            <w:tcW w:type="dxa" w:w="3322"/>
          </w:tcPr>
          <w:p>
            <w:pPr>
              <w:pStyle w:val="null3"/>
            </w:pPr>
            <w:r>
              <w:rPr>
                <w:rFonts w:ascii="仿宋_GB2312" w:hAnsi="仿宋_GB2312" w:cs="仿宋_GB2312" w:eastAsia="仿宋_GB2312"/>
              </w:rPr>
              <w:t>供应商提供利益关系承诺函</w:t>
            </w:r>
          </w:p>
        </w:tc>
        <w:tc>
          <w:tcPr>
            <w:tcW w:type="dxa" w:w="1661"/>
          </w:tcPr>
          <w:p>
            <w:pPr>
              <w:pStyle w:val="null3"/>
            </w:pPr>
            <w:r>
              <w:rPr>
                <w:rFonts w:ascii="仿宋_GB2312" w:hAnsi="仿宋_GB2312" w:cs="仿宋_GB2312" w:eastAsia="仿宋_GB2312"/>
              </w:rPr>
              <w:t>响应文件封面 承诺书</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实施方案非常详细、完整，可行、有针对性，有利于项目实施的10分；实施方案比较详细完整、可行，较利于项目实施的得8分；实施方案基本可行，基本满足项目实施需要的得6分； 实施方案有缺漏项、不能完全满足项目实施需要的得4分； 实施方案内容粗略、不满足项目实施需要的得2分；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拟投入本项目的材料</w:t>
            </w:r>
          </w:p>
        </w:tc>
        <w:tc>
          <w:tcPr>
            <w:tcW w:type="dxa" w:w="2492"/>
          </w:tcPr>
          <w:p>
            <w:pPr>
              <w:pStyle w:val="null3"/>
            </w:pPr>
            <w:r>
              <w:rPr>
                <w:rFonts w:ascii="仿宋_GB2312" w:hAnsi="仿宋_GB2312" w:cs="仿宋_GB2312" w:eastAsia="仿宋_GB2312"/>
              </w:rPr>
              <w:t>根据供应商针对本项目拟投入材料产品选型合理、环保、为市场主流产品，满足本项目实际要求、国家及行业相关质量规定，附相关证明材料进行评审：拟投的材料清单科学、合理完整，来源渠道证明材料完整，材料环保性实用性强，完整性强得5分；拟投的材料清单基本合理，实用性较强，完整性较强，基本满足本项目需求的3分；拟投的材料清单基本合理，实用性一般，完整性一般，基本满足本项目需求的2分；拟投的材料清单不合理，不完整，不满足本项目需求得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拟投入主要材料、设备品牌表</w:t>
            </w:r>
          </w:p>
          <w:p>
            <w:pPr>
              <w:pStyle w:val="null3"/>
            </w:pPr>
            <w:r>
              <w:rPr>
                <w:rFonts w:ascii="仿宋_GB2312" w:hAnsi="仿宋_GB2312" w:cs="仿宋_GB2312" w:eastAsia="仿宋_GB2312"/>
              </w:rPr>
              <w:t>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资格证明文件</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方案及措施完全符合采购人安全作业的要求得8分；方案及措施基本符合采购人安全作业的要求得5分；方案及措施有缺漏项，不能完全符合采购人安全作业的要求得2分；方案及措施内容粗略、不符合采购人安全作业的要求得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环境保护、文明施工措施计划</w:t>
            </w:r>
          </w:p>
        </w:tc>
        <w:tc>
          <w:tcPr>
            <w:tcW w:type="dxa" w:w="2492"/>
          </w:tcPr>
          <w:p>
            <w:pPr>
              <w:pStyle w:val="null3"/>
            </w:pPr>
            <w:r>
              <w:rPr>
                <w:rFonts w:ascii="仿宋_GB2312" w:hAnsi="仿宋_GB2312" w:cs="仿宋_GB2312" w:eastAsia="仿宋_GB2312"/>
              </w:rPr>
              <w:t>针对本项目提供的文明施工和环境保护措施计划进行综合评审。 措施计划完备齐全、合理、切实可行得6分； 措施计划完备齐全、合理、基本可行得3分； 措施计划有缺漏项，合理性、可行性差，得1分； 措施计划内容粗略、可行性较差得0分；未提供不得分。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制定的确保工程质量的组织措施进行综合评审。措施计划完备齐全、合理、切实可行得8分；措施计划完备齐全、合理、基本可行得7分；措施计划基本满足项目需求、合理性、可行性一般得6分；措施计划有缺漏项，合理性、可行性较差得4分；措施计划内容粗略、可行性较差，不能保证项目质量得0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（1）拟派项目经理具备中级及以上职称，高级职称得2分，中级职称得1分，其余情况不得分。 评审依据：评审时以供应商提供的拟派项目经理的职称证扫描件或复印件为准。 （2）供应商提供拟派项目经理自2022年11月1日起至今已完成的类似业绩证明材料（在该项目中担任项目经理一职），每提供1项有效证明材料的得1.5分，最多得3分。评审依据：类似业绩证明材料指包含装饰装修工程的施工项目相关业绩合同扫描件或复印件，合同中应体现的项目经理姓名，未满足上述要求的不得分。（以合同签订日期为准，企业业绩与项目经理业绩不得重复，重复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方案</w:t>
            </w:r>
          </w:p>
          <w:p>
            <w:pPr>
              <w:pStyle w:val="null3"/>
            </w:pPr>
            <w:r>
              <w:rPr>
                <w:rFonts w:ascii="仿宋_GB2312" w:hAnsi="仿宋_GB2312" w:cs="仿宋_GB2312" w:eastAsia="仿宋_GB2312"/>
              </w:rPr>
              <w:t>人员配备表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机构设置合理，人员配备齐全，技术经验丰富得8分；机构设置合理，人员配备较齐全、技术经验有欠缺得5分；机构设置较合理、人员配备基本满足项目需求、技术经验有欠缺得2分；机构设置不合理、人员配备不足、技术经验较差得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p>
            <w:pPr>
              <w:pStyle w:val="null3"/>
            </w:pPr>
            <w:r>
              <w:rPr>
                <w:rFonts w:ascii="仿宋_GB2312" w:hAnsi="仿宋_GB2312" w:cs="仿宋_GB2312" w:eastAsia="仿宋_GB2312"/>
              </w:rPr>
              <w:t>人员配备表</w:t>
            </w:r>
          </w:p>
        </w:tc>
      </w:tr>
      <w:tr>
        <w:tc>
          <w:tcPr>
            <w:tcW w:type="dxa" w:w="831"/>
            <w:vMerge/>
          </w:tcPr>
          <w:p/>
        </w:tc>
        <w:tc>
          <w:tcPr>
            <w:tcW w:type="dxa" w:w="1661"/>
          </w:tcPr>
          <w:p>
            <w:pPr>
              <w:pStyle w:val="null3"/>
            </w:pPr>
            <w:r>
              <w:rPr>
                <w:rFonts w:ascii="仿宋_GB2312" w:hAnsi="仿宋_GB2312" w:cs="仿宋_GB2312" w:eastAsia="仿宋_GB2312"/>
              </w:rPr>
              <w:t>施工进度表、施工网络图、施工总平面布置图</w:t>
            </w:r>
          </w:p>
        </w:tc>
        <w:tc>
          <w:tcPr>
            <w:tcW w:type="dxa" w:w="2492"/>
          </w:tcPr>
          <w:p>
            <w:pPr>
              <w:pStyle w:val="null3"/>
            </w:pPr>
            <w:r>
              <w:rPr>
                <w:rFonts w:ascii="仿宋_GB2312" w:hAnsi="仿宋_GB2312" w:cs="仿宋_GB2312" w:eastAsia="仿宋_GB2312"/>
              </w:rPr>
              <w:t>根据供应商提供针对本项目的施工进度表、施工网络图和施工总平面布置图进行评审：进度计划科学合理、内容表述清晰，各项内容完整、严谨合理、针对性强的得4分； 进度计划各项内容简单粗略，基本满足本项目需求的得3分； 进度计划内容表述模糊，有缺项漏项的得1分；未提供不得分。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提供的劳动力安排计划及劳务分包情况表进行评审：计划科学合理、内容表述清晰，各项内容完整、严谨合理、针对性强的得4分；计划各项内容简单粗略，基本满足本项目需求的得3分；计划内容表述模糊，有缺项漏项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施工机械配备和投入计划</w:t>
            </w:r>
          </w:p>
        </w:tc>
        <w:tc>
          <w:tcPr>
            <w:tcW w:type="dxa" w:w="2492"/>
          </w:tcPr>
          <w:p>
            <w:pPr>
              <w:pStyle w:val="null3"/>
            </w:pPr>
            <w:r>
              <w:rPr>
                <w:rFonts w:ascii="仿宋_GB2312" w:hAnsi="仿宋_GB2312" w:cs="仿宋_GB2312" w:eastAsia="仿宋_GB2312"/>
              </w:rPr>
              <w:t>根据供应商针对本项目制定的施工机械设备配备投入计划进行评审：计划科学合理、合理性及针对性强，完全满足项目要求得4分；计划较科学合理、合理性及针对性较强，完全满足项目要求的得3分；计划稍有欠缺，有一定的可行性，能够满足项目需求的得2分；计划缺失严重，无法保证项目实施的得0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确保工期的技术及组织安排</w:t>
            </w:r>
          </w:p>
        </w:tc>
        <w:tc>
          <w:tcPr>
            <w:tcW w:type="dxa" w:w="2492"/>
          </w:tcPr>
          <w:p>
            <w:pPr>
              <w:pStyle w:val="null3"/>
            </w:pPr>
            <w:r>
              <w:rPr>
                <w:rFonts w:ascii="仿宋_GB2312" w:hAnsi="仿宋_GB2312" w:cs="仿宋_GB2312" w:eastAsia="仿宋_GB2312"/>
              </w:rPr>
              <w:t>根据供应商确保工期的技术及组织安排进行评审。确保工期技术组织措施总体思路清晰、合理、可执行程度强，且能很好推动项目实施得4分；组织措施思路较清晰、可行性、合理性较强得3分；组织措施思路较清晰、可行性、合理性一般得2分；组织措施思路模糊、可行性、合理性一般得1分；组织措施思路模糊、有缺漏项，不能保证项目工期得0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具体可行的服务承诺，包括但不限于服务质量承诺、服务响应时限、人员到位、安全保障、不能完全履行承诺时愿意接受相关处罚等服务承诺。服务承诺完善、团队配备科学合理、响应快速得4分；服务承诺较完善、团队人员配备较合理、响应速度较快得3分；服务承诺简略、团队人员配备较合理、响应速度一般得2分；服务承诺有缺漏项、团队人员配备不齐全、响应速度慢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p>
            <w:pPr>
              <w:pStyle w:val="null3"/>
            </w:pPr>
            <w:r>
              <w:rPr>
                <w:rFonts w:ascii="仿宋_GB2312" w:hAnsi="仿宋_GB2312" w:cs="仿宋_GB2312" w:eastAsia="仿宋_GB2312"/>
              </w:rPr>
              <w:t>承诺书</w:t>
            </w:r>
          </w:p>
          <w:p>
            <w:pPr>
              <w:pStyle w:val="null3"/>
            </w:pPr>
            <w:r>
              <w:rPr>
                <w:rFonts w:ascii="仿宋_GB2312" w:hAnsi="仿宋_GB2312" w:cs="仿宋_GB2312" w:eastAsia="仿宋_GB2312"/>
              </w:rPr>
              <w:t>技术、商务响应偏离表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2022年11月1日起至今，供应商承担的类似项目业绩（以合同签订日期为准，以响应文件中提供的完整合同复印件为准），每提供1份有效业绩得2分，最多得10分。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20分。其他供应商的价格分按照下列公式计算：磋商报价得分=(磋商基准价/磋商报价)×20。计算结果最多保留两位小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详见附件：拟投入主要材料、设备品牌表</w:t>
      </w:r>
    </w:p>
    <w:p>
      <w:pPr>
        <w:pStyle w:val="null3"/>
        <w:ind w:firstLine="960"/>
      </w:pPr>
      <w:r>
        <w:rPr>
          <w:rFonts w:ascii="仿宋_GB2312" w:hAnsi="仿宋_GB2312" w:cs="仿宋_GB2312" w:eastAsia="仿宋_GB2312"/>
        </w:rPr>
        <w:t>详见附件：方案</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详见附件：技术、商务响应偏离表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详见附件：人员配备表</w:t>
      </w:r>
    </w:p>
    <w:p>
      <w:pPr>
        <w:pStyle w:val="null3"/>
        <w:ind w:firstLine="960"/>
      </w:pPr>
      <w:r>
        <w:rPr>
          <w:rFonts w:ascii="仿宋_GB2312" w:hAnsi="仿宋_GB2312" w:cs="仿宋_GB2312" w:eastAsia="仿宋_GB2312"/>
        </w:rPr>
        <w:t>详见附件：其他</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