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47E7DD">
      <w:pPr>
        <w:spacing w:line="360" w:lineRule="auto"/>
        <w:jc w:val="both"/>
        <w:outlineLvl w:val="0"/>
        <w:rPr>
          <w:rFonts w:hint="eastAsia" w:ascii="宋体" w:hAnsi="宋体" w:eastAsia="宋体" w:cs="宋体"/>
          <w:b/>
          <w:color w:val="auto"/>
          <w:sz w:val="32"/>
          <w:szCs w:val="32"/>
          <w:highlight w:val="none"/>
        </w:rPr>
      </w:pPr>
      <w:r>
        <w:rPr>
          <w:rFonts w:hint="eastAsia" w:ascii="宋体" w:hAnsi="宋体" w:eastAsia="宋体" w:cs="宋体"/>
          <w:b/>
          <w:color w:val="auto"/>
          <w:sz w:val="24"/>
          <w:szCs w:val="24"/>
          <w:highlight w:val="none"/>
          <w:lang w:eastAsia="zh-CN"/>
        </w:rPr>
        <w:t>（注：本合同条款为</w:t>
      </w:r>
      <w:r>
        <w:rPr>
          <w:rFonts w:hint="eastAsia" w:ascii="宋体" w:hAnsi="宋体" w:eastAsia="宋体" w:cs="宋体"/>
          <w:b/>
          <w:color w:val="auto"/>
          <w:sz w:val="24"/>
          <w:szCs w:val="24"/>
          <w:highlight w:val="none"/>
        </w:rPr>
        <w:t>参考格式</w:t>
      </w:r>
      <w:r>
        <w:rPr>
          <w:rFonts w:hint="eastAsia" w:ascii="宋体" w:hAnsi="宋体" w:eastAsia="宋体" w:cs="宋体"/>
          <w:b/>
          <w:color w:val="auto"/>
          <w:sz w:val="24"/>
          <w:szCs w:val="24"/>
          <w:highlight w:val="none"/>
          <w:lang w:eastAsia="zh-CN"/>
        </w:rPr>
        <w:t>，可按实际服务内容及约定进行修改）</w:t>
      </w:r>
    </w:p>
    <w:p w14:paraId="5F93E178">
      <w:pPr>
        <w:jc w:val="center"/>
        <w:rPr>
          <w:rFonts w:ascii="方正小标宋简体" w:hAnsi="仿宋" w:eastAsia="方正小标宋简体"/>
          <w:bCs/>
          <w:sz w:val="44"/>
          <w:szCs w:val="44"/>
          <w:highlight w:val="none"/>
        </w:rPr>
      </w:pPr>
    </w:p>
    <w:p w14:paraId="08FEEA73">
      <w:pPr>
        <w:jc w:val="center"/>
        <w:rPr>
          <w:rFonts w:ascii="方正小标宋简体" w:hAnsi="仿宋" w:eastAsia="方正小标宋简体"/>
          <w:bCs/>
          <w:sz w:val="44"/>
          <w:szCs w:val="44"/>
          <w:highlight w:val="none"/>
        </w:rPr>
      </w:pPr>
      <w:r>
        <w:rPr>
          <w:rFonts w:hint="eastAsia" w:ascii="方正小标宋简体" w:hAnsi="仿宋" w:eastAsia="方正小标宋简体"/>
          <w:bCs/>
          <w:sz w:val="44"/>
          <w:szCs w:val="44"/>
          <w:highlight w:val="none"/>
        </w:rPr>
        <w:t>自然资源卫星应用技术中心建设</w:t>
      </w:r>
    </w:p>
    <w:p w14:paraId="66EBD9EC">
      <w:pPr>
        <w:jc w:val="center"/>
        <w:rPr>
          <w:rFonts w:ascii="方正小标宋简体" w:hAnsi="仿宋" w:eastAsia="方正小标宋简体"/>
          <w:bCs/>
          <w:sz w:val="44"/>
          <w:szCs w:val="44"/>
          <w:highlight w:val="none"/>
        </w:rPr>
      </w:pPr>
      <w:r>
        <w:rPr>
          <w:rFonts w:hint="eastAsia" w:ascii="方正小标宋简体" w:hAnsi="仿宋" w:eastAsia="方正小标宋简体"/>
          <w:bCs/>
          <w:sz w:val="44"/>
          <w:szCs w:val="44"/>
          <w:highlight w:val="none"/>
        </w:rPr>
        <w:t>及运行维护项目服务合同</w:t>
      </w:r>
    </w:p>
    <w:p w14:paraId="395FC1AE">
      <w:pPr>
        <w:rPr>
          <w:rFonts w:ascii="方正小标宋简体" w:hAnsi="仿宋" w:eastAsia="方正小标宋简体"/>
          <w:bCs/>
          <w:sz w:val="44"/>
          <w:szCs w:val="44"/>
          <w:highlight w:val="none"/>
        </w:rPr>
      </w:pPr>
      <w:r>
        <w:rPr>
          <w:rFonts w:hint="eastAsia" w:ascii="方正小标宋简体" w:hAnsi="仿宋" w:eastAsia="方正小标宋简体"/>
          <w:bCs/>
          <w:sz w:val="44"/>
          <w:szCs w:val="44"/>
          <w:highlight w:val="none"/>
        </w:rPr>
        <w:t xml:space="preserve"> </w:t>
      </w:r>
    </w:p>
    <w:p w14:paraId="1E0CD7F2">
      <w:pPr>
        <w:pStyle w:val="7"/>
        <w:ind w:firstLine="560"/>
        <w:rPr>
          <w:highlight w:val="none"/>
        </w:rPr>
      </w:pPr>
    </w:p>
    <w:p w14:paraId="3BA3C873">
      <w:pPr>
        <w:pStyle w:val="7"/>
        <w:ind w:firstLine="561"/>
        <w:rPr>
          <w:b/>
          <w:bCs/>
          <w:highlight w:val="none"/>
        </w:rPr>
      </w:pPr>
      <w:r>
        <w:rPr>
          <w:b/>
          <w:bCs/>
          <w:highlight w:val="none"/>
        </w:rPr>
        <w:t xml:space="preserve"> </w:t>
      </w:r>
    </w:p>
    <w:p w14:paraId="22F9DC95">
      <w:pPr>
        <w:rPr>
          <w:highlight w:val="none"/>
        </w:rPr>
      </w:pPr>
    </w:p>
    <w:p w14:paraId="050CF147">
      <w:pPr>
        <w:pStyle w:val="7"/>
        <w:ind w:firstLine="560"/>
        <w:rPr>
          <w:rFonts w:hint="eastAsia"/>
          <w:highlight w:val="none"/>
        </w:rPr>
      </w:pPr>
    </w:p>
    <w:p w14:paraId="14E5C301">
      <w:pPr>
        <w:rPr>
          <w:rFonts w:ascii="黑体" w:hAnsi="黑体" w:eastAsia="黑体"/>
          <w:bCs/>
          <w:kern w:val="0"/>
          <w:sz w:val="32"/>
          <w:szCs w:val="32"/>
          <w:highlight w:val="none"/>
        </w:rPr>
      </w:pPr>
    </w:p>
    <w:p w14:paraId="1DC6D34D">
      <w:pPr>
        <w:rPr>
          <w:rFonts w:ascii="仿宋_GB2312" w:eastAsia="仿宋_GB2312"/>
          <w:bCs/>
          <w:sz w:val="32"/>
          <w:szCs w:val="32"/>
          <w:highlight w:val="none"/>
          <w:u w:val="single"/>
        </w:rPr>
      </w:pPr>
      <w:r>
        <w:rPr>
          <w:rFonts w:hint="eastAsia" w:ascii="黑体" w:hAnsi="黑体" w:eastAsia="黑体"/>
          <w:bCs/>
          <w:spacing w:val="12"/>
          <w:kern w:val="0"/>
          <w:sz w:val="32"/>
          <w:szCs w:val="32"/>
          <w:highlight w:val="none"/>
          <w:fitText w:val="8960" w:id="129576808"/>
        </w:rPr>
        <w:t>项目名称：</w:t>
      </w:r>
      <w:r>
        <w:rPr>
          <w:rFonts w:hint="eastAsia" w:ascii="仿宋_GB2312" w:eastAsia="仿宋_GB2312"/>
          <w:bCs/>
          <w:spacing w:val="12"/>
          <w:kern w:val="0"/>
          <w:sz w:val="32"/>
          <w:szCs w:val="32"/>
          <w:highlight w:val="none"/>
          <w:u w:val="single"/>
          <w:fitText w:val="8960" w:id="129576808"/>
        </w:rPr>
        <w:t>自然资源卫星应用技术中心建设及运行维护项</w:t>
      </w:r>
      <w:r>
        <w:rPr>
          <w:rFonts w:hint="eastAsia" w:ascii="仿宋_GB2312" w:eastAsia="仿宋_GB2312"/>
          <w:bCs/>
          <w:spacing w:val="20"/>
          <w:kern w:val="0"/>
          <w:sz w:val="32"/>
          <w:szCs w:val="32"/>
          <w:highlight w:val="none"/>
          <w:u w:val="single"/>
          <w:fitText w:val="8960" w:id="129576808"/>
        </w:rPr>
        <w:t>目</w:t>
      </w:r>
    </w:p>
    <w:p w14:paraId="350BE95D">
      <w:pPr>
        <w:rPr>
          <w:rFonts w:ascii="宋体" w:hAnsi="宋体" w:eastAsia="仿宋_GB2312"/>
          <w:b/>
          <w:bCs/>
          <w:sz w:val="32"/>
          <w:szCs w:val="32"/>
          <w:highlight w:val="none"/>
        </w:rPr>
      </w:pPr>
      <w:r>
        <w:rPr>
          <w:rFonts w:hint="eastAsia" w:ascii="黑体" w:hAnsi="黑体" w:eastAsia="黑体"/>
          <w:bCs/>
          <w:sz w:val="32"/>
          <w:szCs w:val="32"/>
          <w:highlight w:val="none"/>
        </w:rPr>
        <w:t>委托方（甲方）：</w:t>
      </w:r>
      <w:r>
        <w:rPr>
          <w:rFonts w:hint="eastAsia"/>
          <w:b/>
          <w:bCs/>
          <w:sz w:val="32"/>
          <w:szCs w:val="32"/>
          <w:highlight w:val="none"/>
          <w:u w:val="single"/>
        </w:rPr>
        <w:t xml:space="preserve">     </w:t>
      </w:r>
      <w:r>
        <w:rPr>
          <w:rFonts w:hint="eastAsia" w:ascii="仿宋_GB2312" w:hAnsi="宋体" w:eastAsia="仿宋_GB2312"/>
          <w:bCs/>
          <w:sz w:val="32"/>
          <w:szCs w:val="32"/>
          <w:highlight w:val="none"/>
          <w:u w:val="single"/>
        </w:rPr>
        <w:t xml:space="preserve">西安市自然资源和规划局     </w:t>
      </w:r>
      <w:r>
        <w:rPr>
          <w:rFonts w:ascii="仿宋_GB2312" w:hAnsi="宋体" w:eastAsia="仿宋_GB2312"/>
          <w:bCs/>
          <w:sz w:val="32"/>
          <w:szCs w:val="32"/>
          <w:highlight w:val="none"/>
          <w:u w:val="single"/>
        </w:rPr>
        <w:t xml:space="preserve">  </w:t>
      </w:r>
      <w:r>
        <w:rPr>
          <w:rFonts w:hint="eastAsia" w:ascii="仿宋_GB2312" w:hAnsi="宋体" w:eastAsia="仿宋_GB2312"/>
          <w:bCs/>
          <w:sz w:val="32"/>
          <w:szCs w:val="32"/>
          <w:highlight w:val="none"/>
          <w:u w:val="single"/>
        </w:rPr>
        <w:t xml:space="preserve">   </w:t>
      </w:r>
    </w:p>
    <w:p w14:paraId="366AFD1F">
      <w:pPr>
        <w:rPr>
          <w:rFonts w:ascii="宋体" w:hAnsi="宋体" w:eastAsia="仿宋_GB2312"/>
          <w:b/>
          <w:bCs/>
          <w:sz w:val="32"/>
          <w:szCs w:val="32"/>
          <w:highlight w:val="none"/>
          <w:u w:val="single"/>
        </w:rPr>
      </w:pPr>
      <w:r>
        <w:rPr>
          <w:rFonts w:hint="eastAsia" w:ascii="黑体" w:hAnsi="黑体" w:eastAsia="黑体"/>
          <w:bCs/>
          <w:sz w:val="32"/>
          <w:szCs w:val="32"/>
          <w:highlight w:val="none"/>
        </w:rPr>
        <w:t>服务方（乙方）：</w:t>
      </w:r>
      <w:r>
        <w:rPr>
          <w:rFonts w:hint="eastAsia"/>
          <w:b/>
          <w:bCs/>
          <w:sz w:val="32"/>
          <w:szCs w:val="32"/>
          <w:highlight w:val="none"/>
          <w:u w:val="single"/>
        </w:rPr>
        <w:t xml:space="preserve">    </w:t>
      </w:r>
      <w:r>
        <w:rPr>
          <w:b/>
          <w:bCs/>
          <w:sz w:val="32"/>
          <w:szCs w:val="32"/>
          <w:highlight w:val="none"/>
          <w:u w:val="single"/>
        </w:rPr>
        <w:t xml:space="preserve">  </w:t>
      </w:r>
      <w:r>
        <w:rPr>
          <w:rFonts w:hint="eastAsia"/>
          <w:b/>
          <w:bCs/>
          <w:sz w:val="32"/>
          <w:szCs w:val="32"/>
          <w:highlight w:val="none"/>
          <w:u w:val="single"/>
        </w:rPr>
        <w:t xml:space="preserve">                 </w:t>
      </w:r>
      <w:r>
        <w:rPr>
          <w:rFonts w:hint="eastAsia" w:ascii="仿宋_GB2312" w:hAnsi="宋体" w:eastAsia="仿宋_GB2312"/>
          <w:bCs/>
          <w:sz w:val="32"/>
          <w:szCs w:val="32"/>
          <w:highlight w:val="none"/>
          <w:u w:val="single"/>
        </w:rPr>
        <w:t xml:space="preserve"> </w:t>
      </w:r>
      <w:r>
        <w:rPr>
          <w:rFonts w:ascii="仿宋_GB2312" w:hAnsi="宋体" w:eastAsia="仿宋_GB2312"/>
          <w:bCs/>
          <w:sz w:val="32"/>
          <w:szCs w:val="32"/>
          <w:highlight w:val="none"/>
          <w:u w:val="single"/>
        </w:rPr>
        <w:t xml:space="preserve">              </w:t>
      </w:r>
    </w:p>
    <w:p w14:paraId="2718CA04">
      <w:pPr>
        <w:rPr>
          <w:rFonts w:ascii="仿宋_GB2312" w:hAnsi="宋体" w:eastAsia="仿宋_GB2312"/>
          <w:bCs/>
          <w:sz w:val="32"/>
          <w:szCs w:val="32"/>
          <w:highlight w:val="none"/>
          <w:u w:val="single"/>
        </w:rPr>
      </w:pPr>
    </w:p>
    <w:p w14:paraId="21691C15">
      <w:pPr>
        <w:jc w:val="center"/>
        <w:rPr>
          <w:highlight w:val="none"/>
        </w:rPr>
      </w:pPr>
    </w:p>
    <w:p w14:paraId="4BFDB88F">
      <w:pPr>
        <w:pStyle w:val="7"/>
        <w:ind w:firstLine="640"/>
        <w:rPr>
          <w:sz w:val="32"/>
          <w:szCs w:val="32"/>
          <w:highlight w:val="none"/>
        </w:rPr>
      </w:pPr>
    </w:p>
    <w:p w14:paraId="39A00008">
      <w:pPr>
        <w:pStyle w:val="7"/>
        <w:ind w:firstLine="640"/>
        <w:rPr>
          <w:sz w:val="32"/>
          <w:szCs w:val="32"/>
          <w:highlight w:val="none"/>
        </w:rPr>
      </w:pPr>
    </w:p>
    <w:p w14:paraId="0783989F">
      <w:pPr>
        <w:pStyle w:val="7"/>
        <w:ind w:firstLine="640"/>
        <w:rPr>
          <w:sz w:val="32"/>
          <w:szCs w:val="32"/>
          <w:highlight w:val="none"/>
        </w:rPr>
      </w:pPr>
    </w:p>
    <w:p w14:paraId="7A81BAC7">
      <w:pPr>
        <w:pStyle w:val="7"/>
        <w:ind w:firstLine="640"/>
        <w:rPr>
          <w:sz w:val="32"/>
          <w:szCs w:val="32"/>
          <w:highlight w:val="none"/>
        </w:rPr>
      </w:pPr>
    </w:p>
    <w:p w14:paraId="236B4FF9">
      <w:pPr>
        <w:pStyle w:val="7"/>
        <w:ind w:firstLine="640"/>
        <w:rPr>
          <w:rFonts w:hint="eastAsia"/>
          <w:sz w:val="32"/>
          <w:szCs w:val="32"/>
          <w:highlight w:val="none"/>
        </w:rPr>
      </w:pPr>
    </w:p>
    <w:p w14:paraId="51E6AA22">
      <w:pPr>
        <w:pStyle w:val="7"/>
        <w:ind w:firstLine="640"/>
        <w:rPr>
          <w:sz w:val="32"/>
          <w:szCs w:val="32"/>
          <w:highlight w:val="none"/>
        </w:rPr>
      </w:pPr>
    </w:p>
    <w:p w14:paraId="22E5BF85">
      <w:pPr>
        <w:pStyle w:val="7"/>
        <w:spacing w:line="240" w:lineRule="auto"/>
        <w:ind w:firstLine="2240" w:firstLineChars="700"/>
        <w:contextualSpacing/>
        <w:rPr>
          <w:rFonts w:hint="eastAsia" w:ascii="仿宋_GB2312" w:eastAsia="仿宋_GB2312"/>
          <w:i/>
          <w:iCs/>
          <w:sz w:val="32"/>
          <w:szCs w:val="32"/>
          <w:highlight w:val="none"/>
        </w:rPr>
      </w:pPr>
      <w:r>
        <w:rPr>
          <w:rFonts w:hint="eastAsia" w:ascii="黑体" w:eastAsia="黑体"/>
          <w:sz w:val="32"/>
          <w:szCs w:val="32"/>
          <w:highlight w:val="none"/>
        </w:rPr>
        <w:t>签订地点：</w:t>
      </w:r>
      <w:r>
        <w:rPr>
          <w:rFonts w:hint="eastAsia" w:ascii="仿宋_GB2312" w:eastAsia="仿宋_GB2312"/>
          <w:sz w:val="32"/>
          <w:szCs w:val="32"/>
          <w:highlight w:val="none"/>
        </w:rPr>
        <w:t>陕西省西安市</w:t>
      </w:r>
    </w:p>
    <w:p w14:paraId="4585072B">
      <w:pPr>
        <w:pStyle w:val="7"/>
        <w:spacing w:line="240" w:lineRule="auto"/>
        <w:ind w:firstLine="2240" w:firstLineChars="700"/>
        <w:contextualSpacing/>
        <w:rPr>
          <w:rFonts w:hint="eastAsia" w:ascii="仿宋_GB2312" w:eastAsia="仿宋_GB2312"/>
          <w:b/>
          <w:sz w:val="32"/>
          <w:szCs w:val="32"/>
          <w:highlight w:val="none"/>
        </w:rPr>
      </w:pPr>
      <w:r>
        <w:rPr>
          <w:rFonts w:hint="eastAsia" w:ascii="黑体" w:eastAsia="黑体"/>
          <w:sz w:val="32"/>
          <w:szCs w:val="32"/>
          <w:highlight w:val="none"/>
        </w:rPr>
        <w:t>签订日期：</w:t>
      </w:r>
      <w:r>
        <w:rPr>
          <w:rFonts w:hint="eastAsia" w:ascii="仿宋_GB2312" w:hAnsi="仿宋_GB2312" w:eastAsia="仿宋_GB2312" w:cs="仿宋_GB2312"/>
          <w:sz w:val="32"/>
          <w:szCs w:val="32"/>
          <w:highlight w:val="none"/>
        </w:rPr>
        <w:t>2</w:t>
      </w:r>
      <w:r>
        <w:rPr>
          <w:rFonts w:ascii="仿宋_GB2312" w:hAnsi="仿宋_GB2312" w:eastAsia="仿宋_GB2312" w:cs="仿宋_GB2312"/>
          <w:sz w:val="32"/>
          <w:szCs w:val="32"/>
          <w:highlight w:val="none"/>
        </w:rPr>
        <w:t>02</w:t>
      </w:r>
      <w:r>
        <w:rPr>
          <w:rFonts w:hint="eastAsia" w:ascii="仿宋_GB2312" w:hAnsi="仿宋_GB2312" w:eastAsia="仿宋_GB2312" w:cs="仿宋_GB2312"/>
          <w:sz w:val="32"/>
          <w:szCs w:val="32"/>
          <w:highlight w:val="none"/>
        </w:rPr>
        <w:t>5</w:t>
      </w:r>
      <w:r>
        <w:rPr>
          <w:rFonts w:hint="eastAsia" w:ascii="仿宋_GB2312" w:eastAsia="仿宋_GB2312"/>
          <w:sz w:val="32"/>
          <w:szCs w:val="32"/>
          <w:highlight w:val="none"/>
        </w:rPr>
        <w:t xml:space="preserve">年 </w:t>
      </w:r>
      <w:r>
        <w:rPr>
          <w:rFonts w:ascii="仿宋_GB2312" w:eastAsia="仿宋_GB2312"/>
          <w:sz w:val="32"/>
          <w:szCs w:val="32"/>
          <w:highlight w:val="none"/>
        </w:rPr>
        <w:t xml:space="preserve"> </w:t>
      </w:r>
      <w:r>
        <w:rPr>
          <w:rFonts w:hint="eastAsia" w:ascii="仿宋_GB2312" w:eastAsia="仿宋_GB2312"/>
          <w:sz w:val="32"/>
          <w:szCs w:val="32"/>
          <w:highlight w:val="none"/>
        </w:rPr>
        <w:t>月  日</w:t>
      </w:r>
    </w:p>
    <w:p w14:paraId="33F3CB3B">
      <w:pPr>
        <w:contextualSpacing/>
        <w:rPr>
          <w:rFonts w:ascii="仿宋" w:hAnsi="仿宋" w:eastAsia="仿宋" w:cs="仿宋"/>
          <w:kern w:val="0"/>
          <w:sz w:val="28"/>
          <w:szCs w:val="28"/>
          <w:highlight w:val="none"/>
        </w:rPr>
      </w:pPr>
    </w:p>
    <w:p w14:paraId="299083DD">
      <w:pPr>
        <w:spacing w:line="360" w:lineRule="auto"/>
        <w:ind w:firstLine="640" w:firstLineChars="200"/>
        <w:contextualSpacing/>
        <w:rPr>
          <w:rFonts w:ascii="仿宋_GB2312" w:hAnsi="仿宋" w:eastAsia="仿宋_GB2312" w:cs="仿宋"/>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14:paraId="26FA9D35">
      <w:pPr>
        <w:spacing w:line="560" w:lineRule="exact"/>
        <w:ind w:firstLine="640" w:firstLineChars="200"/>
        <w:contextualSpacing/>
        <w:rPr>
          <w:rFonts w:ascii="仿宋_GB2312" w:hAnsi="仿宋" w:eastAsia="仿宋_GB2312" w:cs="仿宋"/>
          <w:kern w:val="0"/>
          <w:sz w:val="32"/>
          <w:szCs w:val="32"/>
          <w:highlight w:val="none"/>
        </w:rPr>
      </w:pPr>
      <w:r>
        <w:rPr>
          <w:rFonts w:hint="eastAsia" w:ascii="仿宋_GB2312" w:hAnsi="仿宋" w:eastAsia="仿宋_GB2312" w:cs="仿宋"/>
          <w:kern w:val="0"/>
          <w:sz w:val="32"/>
          <w:szCs w:val="32"/>
          <w:highlight w:val="none"/>
        </w:rPr>
        <w:t>甲方（委托方）：</w:t>
      </w:r>
      <w:r>
        <w:rPr>
          <w:rFonts w:hint="eastAsia" w:ascii="仿宋_GB2312" w:hAnsi="仿宋" w:eastAsia="仿宋_GB2312" w:cs="仿宋"/>
          <w:kern w:val="0"/>
          <w:sz w:val="32"/>
          <w:szCs w:val="32"/>
          <w:highlight w:val="none"/>
          <w:u w:val="single"/>
        </w:rPr>
        <w:t xml:space="preserve">西安市自然资源和规划局         </w:t>
      </w:r>
      <w:r>
        <w:rPr>
          <w:rFonts w:hint="eastAsia" w:ascii="仿宋_GB2312" w:hAnsi="仿宋" w:eastAsia="仿宋_GB2312" w:cs="仿宋"/>
          <w:kern w:val="0"/>
          <w:sz w:val="32"/>
          <w:szCs w:val="32"/>
          <w:highlight w:val="none"/>
        </w:rPr>
        <w:t xml:space="preserve">  </w:t>
      </w:r>
    </w:p>
    <w:p w14:paraId="7FEADA29">
      <w:pPr>
        <w:autoSpaceDE w:val="0"/>
        <w:autoSpaceDN w:val="0"/>
        <w:adjustRightInd w:val="0"/>
        <w:snapToGrid w:val="0"/>
        <w:spacing w:line="560" w:lineRule="exact"/>
        <w:ind w:firstLine="640" w:firstLineChars="200"/>
        <w:contextualSpacing/>
        <w:jc w:val="left"/>
        <w:rPr>
          <w:rFonts w:ascii="仿宋_GB2312" w:hAnsi="仿宋" w:eastAsia="仿宋_GB2312" w:cs="仿宋"/>
          <w:kern w:val="0"/>
          <w:sz w:val="32"/>
          <w:szCs w:val="32"/>
          <w:highlight w:val="none"/>
          <w:u w:val="single"/>
        </w:rPr>
      </w:pPr>
      <w:r>
        <w:rPr>
          <w:rFonts w:hint="eastAsia" w:ascii="仿宋_GB2312" w:hAnsi="仿宋" w:eastAsia="仿宋_GB2312" w:cs="仿宋"/>
          <w:kern w:val="0"/>
          <w:sz w:val="32"/>
          <w:szCs w:val="32"/>
          <w:highlight w:val="none"/>
        </w:rPr>
        <w:t>乙方（服务方）：</w:t>
      </w:r>
      <w:r>
        <w:rPr>
          <w:rFonts w:hint="eastAsia" w:ascii="仿宋_GB2312" w:hAnsi="仿宋" w:eastAsia="仿宋_GB2312" w:cs="仿宋"/>
          <w:kern w:val="0"/>
          <w:sz w:val="32"/>
          <w:szCs w:val="32"/>
          <w:highlight w:val="none"/>
          <w:u w:val="single"/>
        </w:rPr>
        <w:t xml:space="preserve">                  </w:t>
      </w:r>
      <w:r>
        <w:rPr>
          <w:rFonts w:ascii="仿宋_GB2312" w:hAnsi="仿宋" w:eastAsia="仿宋_GB2312" w:cs="仿宋"/>
          <w:kern w:val="0"/>
          <w:sz w:val="32"/>
          <w:szCs w:val="32"/>
          <w:highlight w:val="none"/>
          <w:u w:val="single"/>
        </w:rPr>
        <w:t xml:space="preserve">           </w:t>
      </w:r>
      <w:r>
        <w:rPr>
          <w:rFonts w:hint="eastAsia" w:ascii="仿宋_GB2312" w:hAnsi="仿宋" w:eastAsia="仿宋_GB2312" w:cs="仿宋"/>
          <w:kern w:val="0"/>
          <w:sz w:val="32"/>
          <w:szCs w:val="32"/>
          <w:highlight w:val="none"/>
          <w:u w:val="single"/>
        </w:rPr>
        <w:t xml:space="preserve">   </w:t>
      </w:r>
    </w:p>
    <w:p w14:paraId="64113EA3">
      <w:pPr>
        <w:adjustRightInd w:val="0"/>
        <w:snapToGrid w:val="0"/>
        <w:spacing w:line="560" w:lineRule="exact"/>
        <w:ind w:firstLine="640" w:firstLineChars="200"/>
        <w:contextualSpacing/>
        <w:jc w:val="left"/>
        <w:rPr>
          <w:rFonts w:ascii="仿宋_GB2312" w:hAnsi="仿宋" w:eastAsia="仿宋_GB2312" w:cs="仿宋"/>
          <w:color w:val="000000"/>
          <w:sz w:val="32"/>
          <w:szCs w:val="32"/>
          <w:highlight w:val="none"/>
        </w:rPr>
      </w:pPr>
      <w:r>
        <w:rPr>
          <w:rFonts w:hint="eastAsia" w:ascii="仿宋_GB2312" w:hAnsi="仿宋" w:eastAsia="仿宋_GB2312" w:cs="仿宋"/>
          <w:color w:val="000000"/>
          <w:sz w:val="32"/>
          <w:szCs w:val="32"/>
          <w:highlight w:val="none"/>
        </w:rPr>
        <w:t>依据《中华人民共和国政府采购法》《中华人民共和国民法典》及其他它有关法律、行政法规，甲方通过单一来源采购，确定乙方为成交单位。甲乙双方在平等基础上协商一致，达成如下合同条款。</w:t>
      </w:r>
    </w:p>
    <w:p w14:paraId="045925E1">
      <w:pPr>
        <w:adjustRightInd w:val="0"/>
        <w:snapToGrid w:val="0"/>
        <w:spacing w:line="560" w:lineRule="exact"/>
        <w:ind w:firstLine="640" w:firstLineChars="200"/>
        <w:contextualSpacing/>
        <w:jc w:val="left"/>
        <w:rPr>
          <w:rFonts w:ascii="黑体" w:hAnsi="黑体" w:eastAsia="黑体" w:cs="仿宋"/>
          <w:bCs/>
          <w:color w:val="000000"/>
          <w:sz w:val="32"/>
          <w:szCs w:val="32"/>
          <w:highlight w:val="none"/>
        </w:rPr>
      </w:pPr>
      <w:r>
        <w:rPr>
          <w:rFonts w:hint="eastAsia" w:ascii="黑体" w:hAnsi="黑体" w:eastAsia="黑体" w:cs="仿宋"/>
          <w:bCs/>
          <w:color w:val="000000"/>
          <w:sz w:val="32"/>
          <w:szCs w:val="32"/>
          <w:highlight w:val="none"/>
        </w:rPr>
        <w:t>一、项目名称</w:t>
      </w:r>
    </w:p>
    <w:p w14:paraId="49AE88D3">
      <w:pPr>
        <w:adjustRightInd w:val="0"/>
        <w:snapToGrid w:val="0"/>
        <w:spacing w:line="560" w:lineRule="exact"/>
        <w:ind w:firstLine="640" w:firstLineChars="200"/>
        <w:contextualSpacing/>
        <w:jc w:val="left"/>
        <w:rPr>
          <w:rFonts w:ascii="仿宋_GB2312" w:hAnsi="仿宋" w:eastAsia="仿宋_GB2312" w:cs="仿宋"/>
          <w:color w:val="000000"/>
          <w:sz w:val="32"/>
          <w:szCs w:val="32"/>
          <w:highlight w:val="none"/>
        </w:rPr>
      </w:pPr>
      <w:r>
        <w:rPr>
          <w:rFonts w:hint="eastAsia" w:ascii="仿宋_GB2312" w:hAnsi="仿宋" w:eastAsia="仿宋_GB2312" w:cs="仿宋"/>
          <w:color w:val="000000"/>
          <w:sz w:val="32"/>
          <w:szCs w:val="32"/>
          <w:highlight w:val="none"/>
        </w:rPr>
        <w:t>自然资源卫星应用技术中心建设及运行维护项目</w:t>
      </w:r>
    </w:p>
    <w:p w14:paraId="05135A41">
      <w:pPr>
        <w:numPr>
          <w:ilvl w:val="0"/>
          <w:numId w:val="1"/>
        </w:numPr>
        <w:adjustRightInd w:val="0"/>
        <w:snapToGrid w:val="0"/>
        <w:spacing w:line="560" w:lineRule="exact"/>
        <w:ind w:firstLine="640" w:firstLineChars="200"/>
        <w:contextualSpacing/>
        <w:jc w:val="left"/>
        <w:rPr>
          <w:rFonts w:hint="eastAsia" w:ascii="黑体" w:hAnsi="黑体" w:eastAsia="黑体" w:cs="仿宋"/>
          <w:bCs/>
          <w:color w:val="000000"/>
          <w:sz w:val="32"/>
          <w:szCs w:val="32"/>
          <w:highlight w:val="none"/>
        </w:rPr>
      </w:pPr>
      <w:r>
        <w:rPr>
          <w:rFonts w:hint="eastAsia" w:ascii="黑体" w:hAnsi="黑体" w:eastAsia="黑体" w:cs="仿宋"/>
          <w:bCs/>
          <w:color w:val="000000"/>
          <w:sz w:val="32"/>
          <w:szCs w:val="32"/>
          <w:highlight w:val="none"/>
        </w:rPr>
        <w:t>服务内容</w:t>
      </w:r>
    </w:p>
    <w:p w14:paraId="538D77D2">
      <w:pPr>
        <w:pStyle w:val="8"/>
        <w:spacing w:line="560" w:lineRule="exact"/>
        <w:ind w:firstLine="640" w:firstLineChars="200"/>
        <w:rPr>
          <w:rFonts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自然资源卫星应用技术中心建设及运行维护工作，紧密围绕自然资源管理“两统一”职责履行和新时代测绘地理信息“两支撑、两服务”工作定位，以“资源共享、务实管用”为目标，加强省市联动，建设集数据管理、产品生产、主业应用和应用服务为一体的市级卫星中心，全面服务西安市自然资源主责主业和行业领域应用，充分发挥承上启下作用，指导县(乡)节点建设，向社会公众提供更加优质的卫星遥感应用产品服务。服务内容如下：</w:t>
      </w:r>
    </w:p>
    <w:p w14:paraId="63DD5B28">
      <w:pPr>
        <w:pStyle w:val="8"/>
        <w:numPr>
          <w:ilvl w:val="0"/>
          <w:numId w:val="2"/>
        </w:numPr>
        <w:spacing w:line="560" w:lineRule="exact"/>
        <w:rPr>
          <w:rFonts w:ascii="仿宋" w:hAnsi="仿宋" w:eastAsia="仿宋" w:cs="仿宋"/>
          <w:b/>
          <w:bCs/>
          <w:sz w:val="32"/>
          <w:szCs w:val="32"/>
          <w:highlight w:val="none"/>
        </w:rPr>
      </w:pPr>
      <w:r>
        <w:rPr>
          <w:rFonts w:hint="eastAsia" w:ascii="仿宋" w:hAnsi="仿宋" w:eastAsia="仿宋" w:cs="仿宋"/>
          <w:b/>
          <w:bCs/>
          <w:sz w:val="32"/>
          <w:szCs w:val="32"/>
          <w:highlight w:val="none"/>
          <w:lang w:val="en-US" w:eastAsia="zh-CN"/>
        </w:rPr>
        <w:t>中心城区卫星</w:t>
      </w:r>
      <w:r>
        <w:rPr>
          <w:rFonts w:hint="eastAsia" w:ascii="仿宋" w:hAnsi="仿宋" w:eastAsia="仿宋" w:cs="仿宋"/>
          <w:b/>
          <w:bCs/>
          <w:sz w:val="32"/>
          <w:szCs w:val="32"/>
          <w:highlight w:val="none"/>
        </w:rPr>
        <w:t>遥感</w:t>
      </w:r>
      <w:r>
        <w:rPr>
          <w:rFonts w:hint="eastAsia" w:ascii="仿宋" w:hAnsi="仿宋" w:eastAsia="仿宋" w:cs="仿宋"/>
          <w:b/>
          <w:bCs/>
          <w:sz w:val="32"/>
          <w:szCs w:val="32"/>
          <w:highlight w:val="none"/>
          <w:lang w:eastAsia="zh-CN"/>
        </w:rPr>
        <w:t>变化监测</w:t>
      </w:r>
    </w:p>
    <w:p w14:paraId="7A4D14D1">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以西安市中心城区（766平方公里）为覆盖范围，依托高分辨率、高频次卫星遥感数据资源，开展常态化地表区域变化监测，提取变化图斑，并向无人机作业队伍发送详查指令。卫星遥感影像分辨率为0.8米，监测频率为2期/月（在天气因素不影响影像质量条件下实施）。</w:t>
      </w:r>
    </w:p>
    <w:p w14:paraId="3B54A9FB">
      <w:pPr>
        <w:pStyle w:val="8"/>
        <w:numPr>
          <w:ilvl w:val="0"/>
          <w:numId w:val="2"/>
        </w:numPr>
        <w:spacing w:line="560" w:lineRule="exact"/>
        <w:rPr>
          <w:rFonts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卫星遥感应用服务</w:t>
      </w:r>
    </w:p>
    <w:p w14:paraId="303F8B97">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1.数字底图更新服务：利用卫星立体像对数据，生产西安市秦岭重点区域三维立体影像底图，不少于200平方公里。</w:t>
      </w:r>
    </w:p>
    <w:p w14:paraId="54D370D1">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2.国土空间规划动态监测：利用多时相遥感影像比对，快速发现永久基本农田保护红线、生态保护红线、历史文化保护线等区域内变化情况，生成变化图斑，支撑无人机进一步详查工作。</w:t>
      </w:r>
    </w:p>
    <w:p w14:paraId="5BFB89B7">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3.交通路网监测：基于多源卫星遥感数据，生产铁路、公路及市政道路等矢量要素，形成交通路网矢量数据集，为智慧交通建设提供动态空间底图。</w:t>
      </w:r>
    </w:p>
    <w:p w14:paraId="306D14FF">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4.“土地供应”批后监管：围绕用途管制“土地供应”核心业务环节，利用卫星遥感手段监测土地利用现状，辅助判断是否净地出让等情形，利用多时相遥感影像变化发现，及时监测工程开工进度。</w:t>
      </w:r>
    </w:p>
    <w:p w14:paraId="7F029F93">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5.中心城区地表形变监测：对中心城区按照年度开展InSAR形变监测，形成形变速率图和累积形变量图，结合城市地裂缝情况，进一步分析我市中心城区地表形变情况。</w:t>
      </w:r>
    </w:p>
    <w:p w14:paraId="551AB369">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6.秦岭山区地质灾害监测：对秦岭重要灾害易发区按照年度由高精度遥感+InSAR进行“普查”，形成InSAR形变速率图和累积形变量图；重点形变区采用无人机建立倾斜三维模型，开展“详查”，最后进行地面核实，实现高效识别地质灾害隐患点。</w:t>
      </w:r>
    </w:p>
    <w:p w14:paraId="220886A7">
      <w:pPr>
        <w:pStyle w:val="8"/>
        <w:numPr>
          <w:ilvl w:val="0"/>
          <w:numId w:val="2"/>
        </w:numPr>
        <w:spacing w:line="560" w:lineRule="exact"/>
        <w:rPr>
          <w:rFonts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成果数据“一张图”集成共享</w:t>
      </w:r>
    </w:p>
    <w:p w14:paraId="032C3C07">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将调查监测成果进行技术处理，为“资源规划一张图”提供标准化集成接口，进一步丰富“一张图”数据成果体系，便于业务人员快速查询、叠加分析、协同应用。原始成果数据同步汇交。</w:t>
      </w:r>
    </w:p>
    <w:p w14:paraId="33D0B32E">
      <w:pPr>
        <w:pStyle w:val="8"/>
        <w:numPr>
          <w:ilvl w:val="0"/>
          <w:numId w:val="2"/>
        </w:numPr>
        <w:spacing w:line="560" w:lineRule="exact"/>
        <w:rPr>
          <w:rFonts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卫星遥感技术共享服务</w:t>
      </w:r>
    </w:p>
    <w:p w14:paraId="17F31D80">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1.卫星应用培训：邀请行业专家、科研院校、知名企业或自行组织开展卫星应用培训，培训次数不少于3次。</w:t>
      </w:r>
    </w:p>
    <w:p w14:paraId="32F5C77F">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2.指导县(乡)级节点建设：指导、推进县（乡）级部门开展节点建设工作，提供数据、平台和技术服务支撑；制作会议展板、宣传册，开展“世界地球日”宣传工作。</w:t>
      </w:r>
    </w:p>
    <w:p w14:paraId="351AF5D2">
      <w:pPr>
        <w:pStyle w:val="8"/>
        <w:numPr>
          <w:ilvl w:val="0"/>
          <w:numId w:val="2"/>
        </w:numPr>
        <w:spacing w:line="560" w:lineRule="exact"/>
        <w:rPr>
          <w:rFonts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数据和软硬件采购</w:t>
      </w:r>
    </w:p>
    <w:p w14:paraId="0D51B6A0">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1.卫星影像采购：采购0.8米卫星遥感影像，覆盖中心城区范围，支撑城市变化监测和相关业务，频次为2期/月（在天气因素不影响影像质量条件下实施）。</w:t>
      </w:r>
    </w:p>
    <w:p w14:paraId="6AA6F422">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bookmarkStart w:id="0" w:name="OLE_LINK5"/>
      <w:r>
        <w:rPr>
          <w:rFonts w:hint="eastAsia" w:ascii="仿宋_GB2312" w:hAnsi="仿宋" w:eastAsia="仿宋_GB2312" w:cs="仿宋"/>
          <w:color w:val="000000"/>
          <w:sz w:val="32"/>
          <w:szCs w:val="32"/>
          <w:highlight w:val="none"/>
          <w:lang w:val="en-US" w:eastAsia="zh-CN" w:bidi="ar-SA"/>
        </w:rPr>
        <w:t>2.干涉SAR数据采购：采购合成孔径雷达遥感数据，覆盖全市重点区域，约3000平方公里，共计12期，实现对地表形变识别和地质灾害监测。</w:t>
      </w:r>
    </w:p>
    <w:bookmarkEnd w:id="0"/>
    <w:p w14:paraId="05AD6EEC">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3.遥感影像解译软件：提供遥感影像解译功能，可利用遥感影像解译算法模型，对遥感影像智能解译，提高图斑变化识别效率。</w:t>
      </w:r>
    </w:p>
    <w:p w14:paraId="6E376981">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4.图形工作站采购：采购国产高性能图形工作站6台、国产高性能移动图形工作站2台，用于遥感数据处理和模型生产工作。</w:t>
      </w:r>
    </w:p>
    <w:p w14:paraId="1B029E2D">
      <w:pPr>
        <w:adjustRightInd w:val="0"/>
        <w:snapToGrid w:val="0"/>
        <w:spacing w:line="560" w:lineRule="exact"/>
        <w:ind w:firstLine="640" w:firstLineChars="200"/>
        <w:contextualSpacing/>
        <w:jc w:val="left"/>
        <w:rPr>
          <w:rFonts w:ascii="黑体" w:hAnsi="黑体" w:eastAsia="黑体" w:cs="仿宋"/>
          <w:bCs/>
          <w:color w:val="000000"/>
          <w:sz w:val="32"/>
          <w:szCs w:val="32"/>
          <w:highlight w:val="none"/>
        </w:rPr>
      </w:pPr>
      <w:r>
        <w:rPr>
          <w:rFonts w:hint="eastAsia" w:ascii="黑体" w:hAnsi="黑体" w:eastAsia="黑体" w:cs="仿宋"/>
          <w:bCs/>
          <w:color w:val="000000"/>
          <w:sz w:val="32"/>
          <w:szCs w:val="32"/>
          <w:highlight w:val="none"/>
        </w:rPr>
        <w:t>三、合同期限</w:t>
      </w:r>
    </w:p>
    <w:p w14:paraId="323292A2">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自合同签订之日起，</w:t>
      </w:r>
      <w:r>
        <w:rPr>
          <w:rFonts w:hint="eastAsia" w:ascii="仿宋_GB2312" w:hAnsi="仿宋" w:eastAsia="仿宋_GB2312" w:cs="仿宋"/>
          <w:color w:val="000000"/>
          <w:sz w:val="32"/>
          <w:szCs w:val="32"/>
          <w:highlight w:val="none"/>
          <w:lang w:val="zh-CN" w:eastAsia="zh-CN" w:bidi="ar-SA"/>
        </w:rPr>
        <w:t>服</w:t>
      </w:r>
      <w:r>
        <w:rPr>
          <w:rFonts w:hint="eastAsia" w:ascii="仿宋_GB2312" w:hAnsi="仿宋" w:eastAsia="仿宋_GB2312" w:cs="仿宋"/>
          <w:color w:val="000000"/>
          <w:sz w:val="32"/>
          <w:szCs w:val="32"/>
          <w:highlight w:val="none"/>
          <w:lang w:val="en-US" w:eastAsia="zh-CN" w:bidi="ar-SA"/>
        </w:rPr>
        <w:t>务期时长为1年。</w:t>
      </w:r>
    </w:p>
    <w:p w14:paraId="58B9367D">
      <w:pPr>
        <w:adjustRightInd w:val="0"/>
        <w:snapToGrid w:val="0"/>
        <w:spacing w:line="560" w:lineRule="exact"/>
        <w:ind w:firstLine="640" w:firstLineChars="200"/>
        <w:contextualSpacing/>
        <w:jc w:val="left"/>
        <w:rPr>
          <w:rFonts w:ascii="黑体" w:hAnsi="黑体" w:eastAsia="黑体" w:cs="仿宋"/>
          <w:bCs/>
          <w:color w:val="000000"/>
          <w:sz w:val="32"/>
          <w:szCs w:val="32"/>
          <w:highlight w:val="none"/>
        </w:rPr>
      </w:pPr>
      <w:r>
        <w:rPr>
          <w:rFonts w:hint="eastAsia" w:ascii="黑体" w:hAnsi="黑体" w:eastAsia="黑体" w:cs="仿宋"/>
          <w:bCs/>
          <w:color w:val="000000"/>
          <w:sz w:val="32"/>
          <w:szCs w:val="32"/>
          <w:highlight w:val="none"/>
        </w:rPr>
        <w:t>四、合同价款及款项结算</w:t>
      </w:r>
    </w:p>
    <w:p w14:paraId="7A43B97C">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（1）本合同总价款：¥      元（大写：人民币 ）。</w:t>
      </w:r>
    </w:p>
    <w:p w14:paraId="31DD8783">
      <w:pPr>
        <w:pStyle w:val="8"/>
        <w:spacing w:line="560" w:lineRule="exact"/>
        <w:ind w:firstLine="640" w:firstLineChars="200"/>
        <w:rPr>
          <w:rFonts w:hint="eastAsia" w:ascii="仿宋_GB2312" w:hAnsi="仿宋" w:eastAsia="仿宋_GB2312" w:cs="仿宋"/>
          <w:color w:val="000000"/>
          <w:sz w:val="32"/>
          <w:szCs w:val="32"/>
          <w:highlight w:val="none"/>
          <w:lang w:val="en-US" w:eastAsia="zh-CN" w:bidi="ar-SA"/>
        </w:rPr>
      </w:pPr>
      <w:r>
        <w:rPr>
          <w:rFonts w:hint="eastAsia" w:ascii="仿宋_GB2312" w:hAnsi="仿宋" w:eastAsia="仿宋_GB2312" w:cs="仿宋"/>
          <w:color w:val="000000"/>
          <w:sz w:val="32"/>
          <w:szCs w:val="32"/>
          <w:highlight w:val="none"/>
          <w:lang w:val="en-US" w:eastAsia="zh-CN" w:bidi="ar-SA"/>
        </w:rPr>
        <w:t>（2）款项结算：合同签订后10个工作日内，甲方向乙方支付合同金额总额的40%，计人民币：¥     元（大写： 壹 ）；为保障项目实施进度和质量，甲方可根据乙方项目的实施进展情况，向乙方支付合同金额总额的40%，计人民币：¥    元（大写：    ）；乙方合同期限内完成建设内容，经验收通过后，甲方向乙方支付合同总价款的20%，计人民币¥    元（大写：   ）。</w:t>
      </w:r>
    </w:p>
    <w:p w14:paraId="340E4483">
      <w:pPr>
        <w:widowControl/>
        <w:adjustRightInd w:val="0"/>
        <w:snapToGrid w:val="0"/>
        <w:spacing w:line="560" w:lineRule="exact"/>
        <w:ind w:firstLine="640" w:firstLineChars="200"/>
        <w:contextualSpacing/>
        <w:jc w:val="left"/>
        <w:rPr>
          <w:rFonts w:ascii="仿宋_GB2312" w:hAnsi="仿宋" w:eastAsia="仿宋_GB2312" w:cs="仿宋"/>
          <w:color w:val="000000"/>
          <w:sz w:val="32"/>
          <w:szCs w:val="32"/>
          <w:highlight w:val="none"/>
        </w:rPr>
      </w:pPr>
      <w:r>
        <w:rPr>
          <w:rFonts w:hint="eastAsia" w:ascii="仿宋_GB2312" w:hAnsi="仿宋" w:eastAsia="仿宋_GB2312" w:cs="仿宋"/>
          <w:color w:val="000000"/>
          <w:sz w:val="32"/>
          <w:szCs w:val="32"/>
          <w:highlight w:val="none"/>
        </w:rPr>
        <w:t>（3）乙方应于甲方每次付款前，根据甲方要求，向甲方提供该次付款等额发票，否则甲方有权拒绝付款</w:t>
      </w:r>
      <w:r>
        <w:rPr>
          <w:rFonts w:ascii="仿宋_GB2312" w:hAnsi="仿宋" w:eastAsia="仿宋_GB2312" w:cs="仿宋"/>
          <w:color w:val="000000"/>
          <w:sz w:val="32"/>
          <w:szCs w:val="32"/>
          <w:highlight w:val="none"/>
        </w:rPr>
        <w:t>且</w:t>
      </w:r>
      <w:r>
        <w:rPr>
          <w:rFonts w:hint="eastAsia" w:ascii="仿宋_GB2312" w:hAnsi="仿宋" w:eastAsia="仿宋_GB2312" w:cs="仿宋"/>
          <w:color w:val="000000"/>
          <w:sz w:val="32"/>
          <w:szCs w:val="32"/>
          <w:highlight w:val="none"/>
        </w:rPr>
        <w:t>不承担逾期付款的责任。</w:t>
      </w:r>
    </w:p>
    <w:p w14:paraId="31CEFC37">
      <w:pPr>
        <w:adjustRightInd w:val="0"/>
        <w:snapToGrid w:val="0"/>
        <w:spacing w:line="560" w:lineRule="exact"/>
        <w:ind w:firstLine="640" w:firstLineChars="200"/>
        <w:contextualSpacing/>
        <w:rPr>
          <w:rFonts w:ascii="黑体" w:hAnsi="黑体" w:eastAsia="黑体" w:cs="仿宋"/>
          <w:bCs/>
          <w:color w:val="000000"/>
          <w:kern w:val="0"/>
          <w:sz w:val="32"/>
          <w:szCs w:val="32"/>
          <w:highlight w:val="none"/>
        </w:rPr>
      </w:pPr>
      <w:r>
        <w:rPr>
          <w:rFonts w:hint="eastAsia" w:ascii="黑体" w:hAnsi="黑体" w:eastAsia="黑体" w:cs="仿宋"/>
          <w:bCs/>
          <w:color w:val="000000"/>
          <w:kern w:val="0"/>
          <w:sz w:val="32"/>
          <w:szCs w:val="32"/>
          <w:highlight w:val="none"/>
        </w:rPr>
        <w:t>五、双方的权利和义务</w:t>
      </w:r>
    </w:p>
    <w:p w14:paraId="4025ADC7">
      <w:pPr>
        <w:adjustRightInd w:val="0"/>
        <w:snapToGrid w:val="0"/>
        <w:spacing w:line="560" w:lineRule="exact"/>
        <w:ind w:firstLine="640" w:firstLineChars="200"/>
        <w:contextualSpacing/>
        <w:jc w:val="left"/>
        <w:rPr>
          <w:rFonts w:ascii="楷体" w:hAnsi="楷体" w:eastAsia="楷体" w:cs="仿宋"/>
          <w:color w:val="000000"/>
          <w:sz w:val="32"/>
          <w:szCs w:val="32"/>
          <w:highlight w:val="none"/>
        </w:rPr>
      </w:pPr>
      <w:r>
        <w:rPr>
          <w:rFonts w:hint="eastAsia" w:ascii="楷体" w:hAnsi="楷体" w:eastAsia="楷体" w:cs="仿宋"/>
          <w:color w:val="000000"/>
          <w:sz w:val="32"/>
          <w:szCs w:val="32"/>
          <w:highlight w:val="none"/>
        </w:rPr>
        <w:t>1.甲方的权利和义务</w:t>
      </w:r>
    </w:p>
    <w:p w14:paraId="58439E84">
      <w:pPr>
        <w:adjustRightInd w:val="0"/>
        <w:snapToGrid w:val="0"/>
        <w:spacing w:line="560" w:lineRule="exact"/>
        <w:ind w:firstLine="640" w:firstLineChars="200"/>
        <w:contextualSpacing/>
        <w:jc w:val="left"/>
        <w:rPr>
          <w:rFonts w:ascii="仿宋_GB2312" w:hAnsi="仿宋" w:eastAsia="仿宋_GB2312" w:cs="仿宋"/>
          <w:color w:val="000000"/>
          <w:sz w:val="32"/>
          <w:szCs w:val="32"/>
          <w:highlight w:val="none"/>
        </w:rPr>
      </w:pPr>
      <w:r>
        <w:rPr>
          <w:rFonts w:hint="eastAsia" w:ascii="仿宋_GB2312" w:hAnsi="仿宋" w:eastAsia="仿宋_GB2312" w:cs="仿宋"/>
          <w:color w:val="000000"/>
          <w:sz w:val="32"/>
          <w:szCs w:val="32"/>
          <w:highlight w:val="none"/>
        </w:rPr>
        <w:t>甲方有权对协议规定范围内乙方的服务行为进行监督和检查，拥有监督权；有权核对乙方提供服务所配备的人员数量；对甲方认为不合理的部分有权下达整改通知书，并要求乙方限期整改。</w:t>
      </w:r>
    </w:p>
    <w:p w14:paraId="68C8ACC1">
      <w:pPr>
        <w:adjustRightInd w:val="0"/>
        <w:snapToGrid w:val="0"/>
        <w:spacing w:line="560" w:lineRule="exact"/>
        <w:ind w:firstLine="640" w:firstLineChars="200"/>
        <w:contextualSpacing/>
        <w:jc w:val="left"/>
        <w:rPr>
          <w:rFonts w:ascii="楷体" w:hAnsi="楷体" w:eastAsia="楷体" w:cs="仿宋"/>
          <w:color w:val="000000"/>
          <w:sz w:val="32"/>
          <w:szCs w:val="32"/>
          <w:highlight w:val="none"/>
        </w:rPr>
      </w:pPr>
      <w:r>
        <w:rPr>
          <w:rFonts w:hint="eastAsia" w:ascii="楷体" w:hAnsi="楷体" w:eastAsia="楷体" w:cs="仿宋"/>
          <w:color w:val="000000"/>
          <w:sz w:val="32"/>
          <w:szCs w:val="32"/>
          <w:highlight w:val="none"/>
        </w:rPr>
        <w:t>2.乙方的权利和义务</w:t>
      </w:r>
    </w:p>
    <w:p w14:paraId="336D9504">
      <w:pPr>
        <w:adjustRightInd w:val="0"/>
        <w:snapToGrid w:val="0"/>
        <w:spacing w:line="560" w:lineRule="exact"/>
        <w:ind w:firstLine="640" w:firstLineChars="200"/>
        <w:contextualSpacing/>
        <w:jc w:val="left"/>
        <w:rPr>
          <w:rFonts w:ascii="仿宋_GB2312" w:hAnsi="仿宋" w:eastAsia="仿宋_GB2312" w:cs="仿宋"/>
          <w:color w:val="000000"/>
          <w:sz w:val="32"/>
          <w:szCs w:val="32"/>
          <w:highlight w:val="none"/>
        </w:rPr>
      </w:pPr>
      <w:r>
        <w:rPr>
          <w:rFonts w:hint="eastAsia" w:ascii="仿宋_GB2312" w:hAnsi="仿宋" w:eastAsia="仿宋_GB2312" w:cs="仿宋"/>
          <w:color w:val="000000"/>
          <w:sz w:val="32"/>
          <w:szCs w:val="32"/>
          <w:highlight w:val="none"/>
        </w:rPr>
        <w:t>（1）乙方及其工作人员应当遵守执业准则和恪守职业道德，保证在甲方现场的乙</w:t>
      </w:r>
      <w:r>
        <w:rPr>
          <w:rFonts w:ascii="仿宋_GB2312" w:hAnsi="仿宋" w:eastAsia="仿宋_GB2312" w:cs="仿宋"/>
          <w:color w:val="000000"/>
          <w:sz w:val="32"/>
          <w:szCs w:val="32"/>
          <w:highlight w:val="none"/>
        </w:rPr>
        <w:t>方</w:t>
      </w:r>
      <w:r>
        <w:rPr>
          <w:rFonts w:hint="eastAsia" w:ascii="仿宋_GB2312" w:hAnsi="仿宋" w:eastAsia="仿宋_GB2312" w:cs="仿宋"/>
          <w:color w:val="000000"/>
          <w:sz w:val="32"/>
          <w:szCs w:val="32"/>
          <w:highlight w:val="none"/>
        </w:rPr>
        <w:t>工作人员严格遵守甲方现场管理要求和工作纪律。</w:t>
      </w:r>
    </w:p>
    <w:p w14:paraId="6DA1721A">
      <w:pPr>
        <w:adjustRightInd w:val="0"/>
        <w:snapToGrid w:val="0"/>
        <w:spacing w:line="560" w:lineRule="exact"/>
        <w:ind w:firstLine="640" w:firstLineChars="200"/>
        <w:contextualSpacing/>
        <w:jc w:val="left"/>
        <w:rPr>
          <w:rFonts w:ascii="仿宋_GB2312" w:hAnsi="仿宋" w:eastAsia="仿宋_GB2312" w:cs="仿宋"/>
          <w:color w:val="000000"/>
          <w:sz w:val="32"/>
          <w:szCs w:val="32"/>
          <w:highlight w:val="none"/>
        </w:rPr>
      </w:pPr>
      <w:r>
        <w:rPr>
          <w:rFonts w:hint="eastAsia" w:ascii="仿宋_GB2312" w:hAnsi="仿宋" w:eastAsia="仿宋_GB2312" w:cs="仿宋"/>
          <w:color w:val="000000"/>
          <w:sz w:val="32"/>
          <w:szCs w:val="32"/>
          <w:highlight w:val="none"/>
        </w:rPr>
        <w:t>（2）乙方按照本合同约定，在履行的过程中，不允许利用甲方提供的相关资料和工作条件，进行与本项目无关的工作。如因乙方原因，致使甲方遭受经济损失及法律追诉的（包括但不限于直接损失、间接损失、律师费、诉讼费、保全费等），由乙方完全承担。</w:t>
      </w:r>
    </w:p>
    <w:p w14:paraId="55CA6AEA">
      <w:pPr>
        <w:spacing w:line="560" w:lineRule="exact"/>
        <w:ind w:firstLine="640" w:firstLineChars="200"/>
        <w:jc w:val="left"/>
        <w:rPr>
          <w:rFonts w:ascii="仿宋_GB2312" w:hAnsi="仿宋" w:eastAsia="仿宋_GB2312" w:cs="仿宋"/>
          <w:color w:val="000000"/>
          <w:sz w:val="32"/>
          <w:szCs w:val="32"/>
          <w:highlight w:val="none"/>
        </w:rPr>
      </w:pPr>
      <w:r>
        <w:rPr>
          <w:rFonts w:hint="eastAsia" w:ascii="仿宋_GB2312" w:hAnsi="仿宋" w:eastAsia="仿宋_GB2312" w:cs="仿宋"/>
          <w:color w:val="000000"/>
          <w:sz w:val="32"/>
          <w:szCs w:val="32"/>
          <w:highlight w:val="none"/>
        </w:rPr>
        <w:t>（3）乙方在提供服务期间，服务人员</w:t>
      </w:r>
      <w:r>
        <w:rPr>
          <w:rFonts w:ascii="仿宋_GB2312" w:hAnsi="仿宋" w:eastAsia="仿宋_GB2312" w:cs="仿宋"/>
          <w:color w:val="000000"/>
          <w:sz w:val="32"/>
          <w:szCs w:val="32"/>
          <w:highlight w:val="none"/>
        </w:rPr>
        <w:t>应</w:t>
      </w:r>
      <w:r>
        <w:rPr>
          <w:rFonts w:hint="eastAsia" w:ascii="仿宋_GB2312" w:hAnsi="仿宋" w:eastAsia="仿宋_GB2312" w:cs="仿宋"/>
          <w:color w:val="000000"/>
          <w:sz w:val="32"/>
          <w:szCs w:val="32"/>
          <w:highlight w:val="none"/>
        </w:rPr>
        <w:t>严格遵守甲方的相关制度，按照甲方的要求对各业务数据和基本情况进行保密，不能将本合同工作成果所涉资料提供给第三方或用于其他非本协议用途。同时乙方应保证所涉文件资料的存放安全，以防止非相关人员接触，并确保该资料不致泄密。</w:t>
      </w:r>
    </w:p>
    <w:p w14:paraId="7A90CD26">
      <w:pPr>
        <w:spacing w:line="560" w:lineRule="exact"/>
        <w:ind w:firstLine="640" w:firstLineChars="200"/>
        <w:rPr>
          <w:rFonts w:ascii="仿宋_GB2312" w:hAnsi="仿宋" w:eastAsia="仿宋_GB2312" w:cs="仿宋"/>
          <w:color w:val="000000"/>
          <w:sz w:val="32"/>
          <w:szCs w:val="32"/>
          <w:highlight w:val="none"/>
        </w:rPr>
      </w:pPr>
      <w:r>
        <w:rPr>
          <w:rFonts w:hint="eastAsia" w:ascii="仿宋_GB2312" w:hAnsi="仿宋" w:eastAsia="仿宋_GB2312" w:cs="仿宋"/>
          <w:color w:val="000000"/>
          <w:sz w:val="32"/>
          <w:szCs w:val="32"/>
          <w:highlight w:val="none"/>
        </w:rPr>
        <w:t>（4）乙方应保证其向甲方提交的所有工作成果不得侵犯第三人的合法权益，也不得与第三人存在任何形式的纠纷。甲方因使用乙方提交的成果被第三人指控侵权、提出异议或权利主张的，乙方应当积极协助解决，给甲方造成损失的，乙方应当及时、完整的赔偿。</w:t>
      </w:r>
    </w:p>
    <w:p w14:paraId="54D3EC36">
      <w:pPr>
        <w:adjustRightInd w:val="0"/>
        <w:snapToGrid w:val="0"/>
        <w:spacing w:line="560" w:lineRule="exact"/>
        <w:ind w:firstLine="640" w:firstLineChars="200"/>
        <w:contextualSpacing/>
        <w:jc w:val="left"/>
        <w:rPr>
          <w:rFonts w:ascii="黑体" w:hAnsi="黑体" w:eastAsia="黑体" w:cs="仿宋"/>
          <w:bCs/>
          <w:color w:val="000000"/>
          <w:kern w:val="0"/>
          <w:sz w:val="32"/>
          <w:szCs w:val="32"/>
          <w:highlight w:val="none"/>
        </w:rPr>
      </w:pPr>
      <w:r>
        <w:rPr>
          <w:rFonts w:hint="eastAsia" w:ascii="黑体" w:hAnsi="黑体" w:eastAsia="黑体" w:cs="仿宋"/>
          <w:bCs/>
          <w:color w:val="000000"/>
          <w:kern w:val="0"/>
          <w:sz w:val="32"/>
          <w:szCs w:val="32"/>
          <w:highlight w:val="none"/>
        </w:rPr>
        <w:t>六、质量要求</w:t>
      </w:r>
    </w:p>
    <w:p w14:paraId="74FB6AA7">
      <w:pPr>
        <w:pStyle w:val="7"/>
        <w:adjustRightInd w:val="0"/>
        <w:snapToGrid w:val="0"/>
        <w:spacing w:line="560" w:lineRule="exact"/>
        <w:ind w:firstLine="640"/>
        <w:contextualSpacing/>
        <w:rPr>
          <w:rFonts w:ascii="仿宋_GB2312" w:hAnsi="仿宋" w:eastAsia="仿宋_GB2312" w:cs="仿宋"/>
          <w:color w:val="000000"/>
          <w:sz w:val="32"/>
          <w:szCs w:val="32"/>
          <w:highlight w:val="none"/>
        </w:rPr>
      </w:pPr>
      <w:r>
        <w:rPr>
          <w:rFonts w:hint="eastAsia" w:ascii="仿宋_GB2312" w:hAnsi="仿宋" w:eastAsia="仿宋_GB2312" w:cs="仿宋"/>
          <w:color w:val="000000"/>
          <w:sz w:val="32"/>
          <w:szCs w:val="32"/>
          <w:highlight w:val="none"/>
        </w:rPr>
        <w:t>乙方所提供服务必须执行下列条款：</w:t>
      </w:r>
    </w:p>
    <w:p w14:paraId="46C00E3B">
      <w:pPr>
        <w:adjustRightInd w:val="0"/>
        <w:snapToGrid w:val="0"/>
        <w:spacing w:line="560" w:lineRule="exact"/>
        <w:ind w:firstLine="640" w:firstLineChars="200"/>
        <w:contextualSpacing/>
        <w:jc w:val="left"/>
        <w:rPr>
          <w:rFonts w:ascii="仿宋_GB2312" w:hAnsi="仿宋" w:eastAsia="仿宋_GB2312" w:cs="仿宋"/>
          <w:color w:val="000000"/>
          <w:sz w:val="32"/>
          <w:szCs w:val="32"/>
          <w:highlight w:val="none"/>
        </w:rPr>
      </w:pPr>
      <w:r>
        <w:rPr>
          <w:rFonts w:hint="eastAsia" w:ascii="仿宋_GB2312" w:hAnsi="仿宋" w:eastAsia="仿宋_GB2312" w:cs="仿宋"/>
          <w:color w:val="000000"/>
          <w:sz w:val="32"/>
          <w:szCs w:val="32"/>
          <w:highlight w:val="none"/>
        </w:rPr>
        <w:t>乙方必须满足从合同生效之日起一年内，负责给甲方提供卫星中心建设及运维服务，确保服务的稳定性及业务常态化，保证市级卫星中心高效运行并发挥其服务作用。</w:t>
      </w:r>
    </w:p>
    <w:p w14:paraId="07004300">
      <w:pPr>
        <w:adjustRightInd w:val="0"/>
        <w:snapToGrid w:val="0"/>
        <w:spacing w:line="560" w:lineRule="exact"/>
        <w:ind w:firstLine="640" w:firstLineChars="200"/>
        <w:contextualSpacing/>
        <w:rPr>
          <w:rFonts w:ascii="黑体" w:hAnsi="黑体" w:eastAsia="黑体" w:cs="仿宋"/>
          <w:bCs/>
          <w:color w:val="000000"/>
          <w:kern w:val="0"/>
          <w:sz w:val="32"/>
          <w:szCs w:val="32"/>
          <w:highlight w:val="none"/>
        </w:rPr>
      </w:pPr>
      <w:r>
        <w:rPr>
          <w:rFonts w:hint="eastAsia" w:ascii="黑体" w:hAnsi="黑体" w:eastAsia="黑体" w:cs="仿宋"/>
          <w:bCs/>
          <w:color w:val="000000"/>
          <w:kern w:val="0"/>
          <w:sz w:val="32"/>
          <w:szCs w:val="32"/>
          <w:highlight w:val="none"/>
        </w:rPr>
        <w:t>七、成果交付要求</w:t>
      </w:r>
    </w:p>
    <w:p w14:paraId="295E2BB1">
      <w:pPr>
        <w:pStyle w:val="8"/>
        <w:spacing w:line="560" w:lineRule="exact"/>
        <w:rPr>
          <w:rFonts w:hint="eastAsia" w:ascii="仿宋_GB2312" w:eastAsia="仿宋_GB2312" w:cs="仿宋_GB2312"/>
          <w:sz w:val="32"/>
          <w:szCs w:val="21"/>
          <w:highlight w:val="none"/>
          <w:lang w:val="en-US" w:eastAsia="zh-CN" w:bidi="ar"/>
        </w:rPr>
      </w:pPr>
      <w:r>
        <w:rPr>
          <w:rFonts w:hint="eastAsia" w:ascii="仿宋_GB2312" w:eastAsia="仿宋_GB2312" w:cs="仿宋_GB2312"/>
          <w:sz w:val="32"/>
          <w:szCs w:val="21"/>
          <w:highlight w:val="none"/>
          <w:lang w:val="en-US" w:eastAsia="zh-CN" w:bidi="ar"/>
        </w:rPr>
        <w:t>（一）进度要求</w:t>
      </w:r>
    </w:p>
    <w:p w14:paraId="7D4E89B2">
      <w:pPr>
        <w:pStyle w:val="8"/>
        <w:spacing w:line="560" w:lineRule="exact"/>
        <w:ind w:firstLine="640" w:firstLineChars="200"/>
        <w:rPr>
          <w:rFonts w:hint="eastAsia" w:ascii="仿宋_GB2312" w:eastAsia="仿宋_GB2312" w:cs="仿宋_GB2312"/>
          <w:sz w:val="32"/>
          <w:szCs w:val="21"/>
          <w:highlight w:val="none"/>
          <w:lang w:val="zh-CN" w:eastAsia="zh-CN" w:bidi="ar"/>
        </w:rPr>
      </w:pPr>
      <w:r>
        <w:rPr>
          <w:rFonts w:hint="eastAsia" w:ascii="仿宋_GB2312" w:eastAsia="仿宋_GB2312" w:cs="仿宋_GB2312"/>
          <w:sz w:val="32"/>
          <w:szCs w:val="21"/>
          <w:highlight w:val="none"/>
          <w:lang w:val="zh-CN" w:eastAsia="zh-CN" w:bidi="ar"/>
        </w:rPr>
        <w:t>1、数据采购</w:t>
      </w:r>
    </w:p>
    <w:p w14:paraId="242B340F">
      <w:pPr>
        <w:pStyle w:val="8"/>
        <w:spacing w:line="560" w:lineRule="exact"/>
        <w:ind w:firstLine="640" w:firstLineChars="200"/>
        <w:rPr>
          <w:rFonts w:hint="eastAsia" w:ascii="仿宋_GB2312" w:eastAsia="仿宋_GB2312" w:cs="仿宋_GB2312"/>
          <w:sz w:val="32"/>
          <w:szCs w:val="21"/>
          <w:highlight w:val="none"/>
          <w:lang w:val="zh-CN" w:eastAsia="zh-CN" w:bidi="ar"/>
        </w:rPr>
      </w:pPr>
      <w:r>
        <w:rPr>
          <w:rFonts w:hint="eastAsia" w:ascii="仿宋_GB2312" w:eastAsia="仿宋_GB2312" w:cs="仿宋_GB2312"/>
          <w:sz w:val="32"/>
          <w:szCs w:val="21"/>
          <w:highlight w:val="none"/>
          <w:lang w:val="zh-CN" w:eastAsia="zh-CN" w:bidi="ar"/>
        </w:rPr>
        <w:t>合同期限内按时限要求提交相关成果。</w:t>
      </w:r>
    </w:p>
    <w:p w14:paraId="3F665EB0">
      <w:pPr>
        <w:pStyle w:val="8"/>
        <w:spacing w:line="560" w:lineRule="exact"/>
        <w:ind w:firstLine="640" w:firstLineChars="200"/>
        <w:rPr>
          <w:rFonts w:hint="eastAsia" w:ascii="仿宋_GB2312" w:eastAsia="仿宋_GB2312" w:cs="仿宋_GB2312"/>
          <w:sz w:val="32"/>
          <w:szCs w:val="21"/>
          <w:highlight w:val="none"/>
          <w:lang w:val="zh-CN" w:eastAsia="zh-CN" w:bidi="ar"/>
        </w:rPr>
      </w:pPr>
      <w:r>
        <w:rPr>
          <w:rFonts w:hint="eastAsia" w:ascii="仿宋_GB2312" w:eastAsia="仿宋_GB2312" w:cs="仿宋_GB2312"/>
          <w:sz w:val="32"/>
          <w:szCs w:val="21"/>
          <w:highlight w:val="none"/>
          <w:lang w:val="zh-CN" w:eastAsia="zh-CN" w:bidi="ar"/>
        </w:rPr>
        <w:t>2、资源规划数据更新维护部分</w:t>
      </w:r>
    </w:p>
    <w:p w14:paraId="4BCB5AE3">
      <w:pPr>
        <w:pStyle w:val="8"/>
        <w:spacing w:line="560" w:lineRule="exact"/>
        <w:ind w:firstLine="640" w:firstLineChars="200"/>
        <w:rPr>
          <w:rFonts w:hint="eastAsia" w:ascii="仿宋_GB2312" w:eastAsia="仿宋_GB2312" w:cs="仿宋_GB2312"/>
          <w:sz w:val="32"/>
          <w:szCs w:val="21"/>
          <w:highlight w:val="none"/>
          <w:lang w:val="zh-CN" w:eastAsia="zh-CN" w:bidi="ar"/>
        </w:rPr>
      </w:pPr>
      <w:r>
        <w:rPr>
          <w:rFonts w:hint="eastAsia" w:ascii="仿宋_GB2312" w:eastAsia="仿宋_GB2312" w:cs="仿宋_GB2312"/>
          <w:sz w:val="32"/>
          <w:szCs w:val="21"/>
          <w:highlight w:val="none"/>
          <w:lang w:val="zh-CN" w:eastAsia="zh-CN" w:bidi="ar"/>
        </w:rPr>
        <w:t>合同签订之日起至服务期内，开展卫星遥感应用服务、技术共享服务和“一张图”集成共享相关工作。</w:t>
      </w:r>
    </w:p>
    <w:p w14:paraId="783E97B3">
      <w:pPr>
        <w:pStyle w:val="8"/>
        <w:spacing w:line="560" w:lineRule="exact"/>
        <w:rPr>
          <w:rFonts w:hint="eastAsia" w:ascii="仿宋_GB2312" w:eastAsia="仿宋_GB2312" w:cs="仿宋_GB2312"/>
          <w:sz w:val="32"/>
          <w:szCs w:val="21"/>
          <w:highlight w:val="none"/>
          <w:lang w:val="en-US" w:eastAsia="zh-CN" w:bidi="ar"/>
        </w:rPr>
      </w:pPr>
      <w:r>
        <w:rPr>
          <w:rFonts w:hint="eastAsia" w:ascii="仿宋_GB2312" w:eastAsia="仿宋_GB2312" w:cs="仿宋_GB2312"/>
          <w:sz w:val="32"/>
          <w:szCs w:val="21"/>
          <w:highlight w:val="none"/>
          <w:lang w:val="en-US" w:eastAsia="zh-CN" w:bidi="ar"/>
        </w:rPr>
        <w:t>（二）质量验收标准或规范</w:t>
      </w:r>
    </w:p>
    <w:p w14:paraId="3DB040A6">
      <w:pPr>
        <w:pStyle w:val="8"/>
        <w:spacing w:line="560" w:lineRule="exact"/>
        <w:ind w:firstLine="640" w:firstLineChars="200"/>
        <w:rPr>
          <w:rFonts w:hint="eastAsia" w:ascii="仿宋_GB2312" w:eastAsia="仿宋_GB2312" w:cs="仿宋_GB2312"/>
          <w:sz w:val="32"/>
          <w:szCs w:val="21"/>
          <w:highlight w:val="none"/>
          <w:lang w:val="zh-CN" w:eastAsia="zh-CN" w:bidi="ar"/>
        </w:rPr>
      </w:pPr>
      <w:r>
        <w:rPr>
          <w:rFonts w:hint="eastAsia" w:ascii="仿宋_GB2312" w:eastAsia="仿宋_GB2312" w:cs="仿宋_GB2312"/>
          <w:sz w:val="32"/>
          <w:szCs w:val="21"/>
          <w:highlight w:val="none"/>
          <w:lang w:val="zh-CN" w:eastAsia="zh-CN" w:bidi="ar"/>
        </w:rPr>
        <w:t>①</w:t>
      </w:r>
      <w:bookmarkStart w:id="1" w:name="OLE_LINK7"/>
      <w:bookmarkStart w:id="2" w:name="OLE_LINK6"/>
      <w:r>
        <w:rPr>
          <w:rFonts w:hint="eastAsia" w:ascii="仿宋_GB2312" w:eastAsia="仿宋_GB2312" w:cs="仿宋_GB2312"/>
          <w:sz w:val="32"/>
          <w:szCs w:val="21"/>
          <w:highlight w:val="none"/>
          <w:lang w:val="zh-CN" w:eastAsia="zh-CN" w:bidi="ar"/>
        </w:rPr>
        <w:t>《遥感影像平面图制作规范》</w:t>
      </w:r>
      <w:bookmarkEnd w:id="1"/>
      <w:r>
        <w:rPr>
          <w:rFonts w:hint="eastAsia" w:ascii="仿宋_GB2312" w:eastAsia="仿宋_GB2312" w:cs="仿宋_GB2312"/>
          <w:sz w:val="32"/>
          <w:szCs w:val="21"/>
          <w:highlight w:val="none"/>
          <w:lang w:val="zh-CN" w:eastAsia="zh-CN" w:bidi="ar"/>
        </w:rPr>
        <w:t xml:space="preserve"> GB/T </w:t>
      </w:r>
      <w:r>
        <w:rPr>
          <w:rFonts w:ascii="仿宋_GB2312" w:eastAsia="仿宋_GB2312" w:cs="仿宋_GB2312"/>
          <w:sz w:val="32"/>
          <w:szCs w:val="21"/>
          <w:highlight w:val="none"/>
          <w:lang w:val="zh-CN" w:eastAsia="zh-CN" w:bidi="ar"/>
        </w:rPr>
        <w:t>1</w:t>
      </w:r>
      <w:r>
        <w:rPr>
          <w:rFonts w:hint="eastAsia" w:ascii="仿宋_GB2312" w:eastAsia="仿宋_GB2312" w:cs="仿宋_GB2312"/>
          <w:sz w:val="32"/>
          <w:szCs w:val="21"/>
          <w:highlight w:val="none"/>
          <w:lang w:val="zh-CN" w:eastAsia="zh-CN" w:bidi="ar"/>
        </w:rPr>
        <w:t>5968-2008</w:t>
      </w:r>
      <w:bookmarkEnd w:id="2"/>
    </w:p>
    <w:p w14:paraId="0FB58CA7">
      <w:pPr>
        <w:pStyle w:val="8"/>
        <w:spacing w:line="560" w:lineRule="exact"/>
        <w:ind w:firstLine="640" w:firstLineChars="200"/>
        <w:rPr>
          <w:rFonts w:ascii="仿宋_GB2312" w:eastAsia="仿宋_GB2312" w:cs="仿宋_GB2312"/>
          <w:sz w:val="32"/>
          <w:szCs w:val="21"/>
          <w:highlight w:val="none"/>
          <w:lang w:val="zh-CN" w:eastAsia="zh-CN" w:bidi="ar"/>
        </w:rPr>
      </w:pPr>
      <w:r>
        <w:rPr>
          <w:rFonts w:hint="eastAsia" w:ascii="仿宋_GB2312" w:eastAsia="仿宋_GB2312" w:cs="仿宋_GB2312"/>
          <w:sz w:val="32"/>
          <w:szCs w:val="21"/>
          <w:highlight w:val="none"/>
          <w:lang w:val="zh-CN" w:eastAsia="zh-CN" w:bidi="ar"/>
        </w:rPr>
        <w:t>②《基础地理信息数字成果1:5000 1:10000 1:25000 1：50000 1:100000数字正射影像图》（CH/T 9009.3-2010）；</w:t>
      </w:r>
    </w:p>
    <w:p w14:paraId="19E03979">
      <w:pPr>
        <w:pStyle w:val="8"/>
        <w:spacing w:line="560" w:lineRule="exact"/>
        <w:ind w:firstLine="640" w:firstLineChars="200"/>
        <w:rPr>
          <w:rFonts w:ascii="仿宋_GB2312" w:eastAsia="仿宋_GB2312" w:cs="仿宋_GB2312"/>
          <w:sz w:val="32"/>
          <w:szCs w:val="21"/>
          <w:highlight w:val="none"/>
          <w:lang w:val="zh-CN" w:eastAsia="zh-CN" w:bidi="ar"/>
        </w:rPr>
      </w:pPr>
      <w:r>
        <w:rPr>
          <w:rFonts w:hint="eastAsia" w:ascii="仿宋_GB2312" w:eastAsia="仿宋_GB2312" w:cs="仿宋_GB2312"/>
          <w:sz w:val="32"/>
          <w:szCs w:val="21"/>
          <w:highlight w:val="none"/>
          <w:lang w:val="zh-CN" w:eastAsia="zh-CN" w:bidi="ar"/>
        </w:rPr>
        <w:t>③《基础地理信息数字产品元数据》（CH/T 1007-2001）；</w:t>
      </w:r>
    </w:p>
    <w:p w14:paraId="7CDD94CD">
      <w:pPr>
        <w:pStyle w:val="8"/>
        <w:spacing w:line="560" w:lineRule="exact"/>
        <w:ind w:firstLine="640" w:firstLineChars="200"/>
        <w:rPr>
          <w:rFonts w:ascii="仿宋_GB2312" w:eastAsia="仿宋_GB2312" w:cs="仿宋_GB2312"/>
          <w:sz w:val="32"/>
          <w:szCs w:val="21"/>
          <w:highlight w:val="none"/>
          <w:lang w:val="zh-CN" w:eastAsia="zh-CN" w:bidi="ar"/>
        </w:rPr>
      </w:pPr>
      <w:r>
        <w:rPr>
          <w:rFonts w:ascii="仿宋_GB2312" w:eastAsia="仿宋_GB2312" w:cs="仿宋_GB2312"/>
          <w:sz w:val="32"/>
          <w:szCs w:val="21"/>
          <w:highlight w:val="none"/>
          <w:lang w:val="zh-CN" w:eastAsia="zh-CN" w:bidi="ar"/>
        </w:rPr>
        <w:fldChar w:fldCharType="begin"/>
      </w:r>
      <w:r>
        <w:rPr>
          <w:rFonts w:ascii="仿宋_GB2312" w:eastAsia="仿宋_GB2312" w:cs="仿宋_GB2312"/>
          <w:sz w:val="32"/>
          <w:szCs w:val="21"/>
          <w:highlight w:val="none"/>
          <w:lang w:val="zh-CN" w:eastAsia="zh-CN" w:bidi="ar"/>
        </w:rPr>
        <w:instrText xml:space="preserve"> </w:instrText>
      </w:r>
      <w:r>
        <w:rPr>
          <w:rFonts w:hint="eastAsia" w:ascii="仿宋_GB2312" w:eastAsia="仿宋_GB2312" w:cs="仿宋_GB2312"/>
          <w:sz w:val="32"/>
          <w:szCs w:val="21"/>
          <w:highlight w:val="none"/>
          <w:lang w:val="zh-CN" w:eastAsia="zh-CN" w:bidi="ar"/>
        </w:rPr>
        <w:instrText xml:space="preserve">= 4 \* GB3</w:instrText>
      </w:r>
      <w:r>
        <w:rPr>
          <w:rFonts w:ascii="仿宋_GB2312" w:eastAsia="仿宋_GB2312" w:cs="仿宋_GB2312"/>
          <w:sz w:val="32"/>
          <w:szCs w:val="21"/>
          <w:highlight w:val="none"/>
          <w:lang w:val="zh-CN" w:eastAsia="zh-CN" w:bidi="ar"/>
        </w:rPr>
        <w:instrText xml:space="preserve"> </w:instrText>
      </w:r>
      <w:r>
        <w:rPr>
          <w:rFonts w:ascii="仿宋_GB2312" w:eastAsia="仿宋_GB2312" w:cs="仿宋_GB2312"/>
          <w:sz w:val="32"/>
          <w:szCs w:val="21"/>
          <w:highlight w:val="none"/>
          <w:lang w:val="zh-CN" w:eastAsia="zh-CN" w:bidi="ar"/>
        </w:rPr>
        <w:fldChar w:fldCharType="separate"/>
      </w:r>
      <w:r>
        <w:rPr>
          <w:rFonts w:hint="eastAsia" w:ascii="仿宋_GB2312" w:eastAsia="仿宋_GB2312" w:cs="仿宋_GB2312"/>
          <w:sz w:val="32"/>
          <w:szCs w:val="21"/>
          <w:highlight w:val="none"/>
          <w:lang w:val="zh-CN" w:eastAsia="zh-CN" w:bidi="ar"/>
        </w:rPr>
        <w:t>④</w:t>
      </w:r>
      <w:r>
        <w:rPr>
          <w:rFonts w:ascii="仿宋_GB2312" w:eastAsia="仿宋_GB2312" w:cs="仿宋_GB2312"/>
          <w:sz w:val="32"/>
          <w:szCs w:val="21"/>
          <w:highlight w:val="none"/>
          <w:lang w:val="zh-CN" w:eastAsia="zh-CN" w:bidi="ar"/>
        </w:rPr>
        <w:fldChar w:fldCharType="end"/>
      </w:r>
      <w:r>
        <w:rPr>
          <w:rFonts w:hint="eastAsia" w:ascii="仿宋_GB2312" w:eastAsia="仿宋_GB2312" w:cs="仿宋_GB2312"/>
          <w:sz w:val="32"/>
          <w:szCs w:val="21"/>
          <w:highlight w:val="none"/>
          <w:lang w:val="zh-CN" w:eastAsia="zh-CN" w:bidi="ar"/>
        </w:rPr>
        <w:t>《测绘成果质量检查与验收》（GB/T 24356-2023）；</w:t>
      </w:r>
    </w:p>
    <w:p w14:paraId="7E67617A">
      <w:pPr>
        <w:pStyle w:val="8"/>
        <w:spacing w:line="560" w:lineRule="exact"/>
        <w:ind w:firstLine="640" w:firstLineChars="200"/>
        <w:rPr>
          <w:rFonts w:hint="eastAsia" w:ascii="仿宋_GB2312" w:eastAsia="仿宋_GB2312" w:cs="仿宋_GB2312"/>
          <w:sz w:val="32"/>
          <w:szCs w:val="21"/>
          <w:highlight w:val="none"/>
          <w:lang w:val="en-US" w:eastAsia="zh-CN" w:bidi="ar"/>
        </w:rPr>
      </w:pPr>
      <w:r>
        <w:rPr>
          <w:rFonts w:hint="eastAsia" w:ascii="仿宋_GB2312" w:eastAsia="仿宋_GB2312" w:cs="仿宋_GB2312"/>
          <w:sz w:val="32"/>
          <w:szCs w:val="21"/>
          <w:highlight w:val="none"/>
          <w:lang w:val="en-US" w:eastAsia="zh-CN" w:bidi="ar"/>
        </w:rPr>
        <w:t>（三）成果交付要求</w:t>
      </w:r>
    </w:p>
    <w:p w14:paraId="385E5A05">
      <w:pPr>
        <w:pStyle w:val="8"/>
        <w:spacing w:line="560" w:lineRule="exact"/>
        <w:ind w:firstLine="640" w:firstLineChars="200"/>
        <w:rPr>
          <w:rFonts w:hint="eastAsia" w:ascii="仿宋_GB2312" w:eastAsia="仿宋_GB2312" w:cs="仿宋_GB2312"/>
          <w:sz w:val="32"/>
          <w:szCs w:val="21"/>
          <w:highlight w:val="none"/>
          <w:lang w:val="en-US" w:eastAsia="zh-CN" w:bidi="ar"/>
        </w:rPr>
      </w:pPr>
      <w:r>
        <w:rPr>
          <w:rFonts w:hint="eastAsia" w:ascii="仿宋_GB2312" w:eastAsia="仿宋_GB2312" w:cs="仿宋_GB2312"/>
          <w:sz w:val="32"/>
          <w:szCs w:val="21"/>
          <w:highlight w:val="none"/>
          <w:lang w:val="en-US" w:eastAsia="zh-CN" w:bidi="ar"/>
        </w:rPr>
        <w:t>项目验收时需提交遥感影像采购数据和调查监测成果数据；</w:t>
      </w:r>
      <w:r>
        <w:rPr>
          <w:rFonts w:hint="eastAsia" w:ascii="仿宋_GB2312" w:eastAsia="仿宋_GB2312" w:cs="仿宋_GB2312"/>
          <w:sz w:val="32"/>
          <w:highlight w:val="none"/>
          <w:lang w:val="en-US" w:eastAsia="zh-CN" w:bidi="ar"/>
        </w:rPr>
        <w:t>项目验收时需提交</w:t>
      </w:r>
      <w:r>
        <w:rPr>
          <w:rFonts w:hint="eastAsia" w:ascii="仿宋_GB2312" w:eastAsia="仿宋_GB2312" w:cs="仿宋_GB2312"/>
          <w:sz w:val="32"/>
          <w:highlight w:val="none"/>
          <w:lang w:eastAsia="zh-CN" w:bidi="ar"/>
        </w:rPr>
        <w:t>各类服务形成相关报告文档，提交采购人进行审核，并修改完善。</w:t>
      </w:r>
    </w:p>
    <w:p w14:paraId="1C1087A5">
      <w:pPr>
        <w:adjustRightInd w:val="0"/>
        <w:snapToGrid w:val="0"/>
        <w:spacing w:line="560" w:lineRule="exact"/>
        <w:ind w:firstLine="640" w:firstLineChars="200"/>
        <w:contextualSpacing/>
        <w:jc w:val="left"/>
        <w:rPr>
          <w:rFonts w:ascii="黑体" w:hAnsi="黑体" w:eastAsia="黑体" w:cs="仿宋"/>
          <w:bCs/>
          <w:color w:val="000000"/>
          <w:kern w:val="0"/>
          <w:sz w:val="32"/>
          <w:szCs w:val="32"/>
          <w:highlight w:val="none"/>
        </w:rPr>
      </w:pPr>
      <w:r>
        <w:rPr>
          <w:rFonts w:hint="eastAsia" w:ascii="黑体" w:hAnsi="黑体" w:eastAsia="黑体" w:cs="仿宋"/>
          <w:bCs/>
          <w:color w:val="000000"/>
          <w:kern w:val="0"/>
          <w:sz w:val="32"/>
          <w:szCs w:val="32"/>
          <w:highlight w:val="none"/>
        </w:rPr>
        <w:t>八、技术服务</w:t>
      </w:r>
    </w:p>
    <w:p w14:paraId="1223EED8">
      <w:pPr>
        <w:adjustRightInd w:val="0"/>
        <w:snapToGrid w:val="0"/>
        <w:spacing w:line="560" w:lineRule="exact"/>
        <w:ind w:firstLine="640" w:firstLineChars="200"/>
        <w:jc w:val="left"/>
        <w:rPr>
          <w:rFonts w:ascii="仿宋_GB2312" w:hAnsi="宋体" w:eastAsia="仿宋_GB2312" w:cs="仿宋_GB2312"/>
          <w:sz w:val="32"/>
          <w:highlight w:val="none"/>
          <w:lang w:bidi="ar"/>
        </w:rPr>
      </w:pPr>
      <w:r>
        <w:rPr>
          <w:rFonts w:hint="eastAsia" w:ascii="仿宋_GB2312" w:hAnsi="宋体" w:eastAsia="仿宋_GB2312" w:cs="仿宋_GB2312"/>
          <w:sz w:val="32"/>
          <w:highlight w:val="none"/>
          <w:lang w:bidi="ar"/>
        </w:rPr>
        <w:t>合同期内，乙方负责</w:t>
      </w:r>
      <w:r>
        <w:rPr>
          <w:rFonts w:ascii="仿宋_GB2312" w:hAnsi="宋体" w:eastAsia="仿宋_GB2312" w:cs="仿宋_GB2312"/>
          <w:sz w:val="32"/>
          <w:highlight w:val="none"/>
          <w:lang w:bidi="ar"/>
        </w:rPr>
        <w:t>及时</w:t>
      </w:r>
      <w:r>
        <w:rPr>
          <w:rFonts w:hint="eastAsia" w:ascii="仿宋_GB2312" w:hAnsi="宋体" w:eastAsia="仿宋_GB2312" w:cs="仿宋_GB2312"/>
          <w:sz w:val="32"/>
          <w:highlight w:val="none"/>
          <w:lang w:bidi="ar"/>
        </w:rPr>
        <w:t>给甲方提供技术支持，确保服务的稳定性及业务常态化，配置遥感、地理信息、测绘、资源规划、计算机等多学科专业团队开展具体工作。</w:t>
      </w:r>
    </w:p>
    <w:p w14:paraId="73853B9F">
      <w:pPr>
        <w:pStyle w:val="3"/>
        <w:spacing w:line="560" w:lineRule="exact"/>
        <w:ind w:firstLine="640" w:firstLineChars="200"/>
        <w:contextualSpacing/>
        <w:rPr>
          <w:rFonts w:ascii="黑体" w:hAnsi="黑体" w:eastAsia="黑体" w:cs="仿宋"/>
          <w:bCs/>
          <w:color w:val="000000"/>
          <w:kern w:val="0"/>
          <w:szCs w:val="32"/>
          <w:highlight w:val="none"/>
        </w:rPr>
      </w:pPr>
      <w:r>
        <w:rPr>
          <w:rFonts w:hint="eastAsia" w:ascii="黑体" w:hAnsi="黑体" w:eastAsia="黑体" w:cs="仿宋"/>
          <w:bCs/>
          <w:color w:val="000000"/>
          <w:kern w:val="0"/>
          <w:szCs w:val="32"/>
          <w:highlight w:val="none"/>
        </w:rPr>
        <w:t>九、违约责任</w:t>
      </w:r>
    </w:p>
    <w:p w14:paraId="3FBB16D8">
      <w:pPr>
        <w:autoSpaceDE w:val="0"/>
        <w:autoSpaceDN w:val="0"/>
        <w:adjustRightInd w:val="0"/>
        <w:spacing w:line="560" w:lineRule="exact"/>
        <w:ind w:firstLine="640" w:firstLineChars="200"/>
        <w:jc w:val="left"/>
        <w:rPr>
          <w:rFonts w:ascii="仿宋_GB2312" w:hAnsi="仿宋" w:eastAsia="仿宋_GB2312" w:cs="仿宋"/>
          <w:color w:val="000000"/>
          <w:kern w:val="0"/>
          <w:sz w:val="32"/>
          <w:szCs w:val="32"/>
          <w:highlight w:val="none"/>
        </w:rPr>
      </w:pPr>
      <w:r>
        <w:rPr>
          <w:rFonts w:hint="eastAsia" w:ascii="仿宋_GB2312" w:hAnsi="仿宋" w:eastAsia="仿宋_GB2312" w:cs="仿宋"/>
          <w:color w:val="000000"/>
          <w:kern w:val="0"/>
          <w:sz w:val="32"/>
          <w:szCs w:val="32"/>
          <w:highlight w:val="none"/>
        </w:rPr>
        <w:t>1.合同履行过程中，乙方违反本协议约定或者不适当履行本协议的，甲方有权单方面解除本合同，乙方应当按照本合同价款总额的</w:t>
      </w:r>
      <w:r>
        <w:rPr>
          <w:rFonts w:ascii="仿宋_GB2312" w:hAnsi="仿宋" w:eastAsia="仿宋_GB2312" w:cs="仿宋"/>
          <w:color w:val="000000"/>
          <w:kern w:val="0"/>
          <w:sz w:val="32"/>
          <w:szCs w:val="32"/>
          <w:highlight w:val="none"/>
        </w:rPr>
        <w:t>1</w:t>
      </w:r>
      <w:r>
        <w:rPr>
          <w:rFonts w:hint="eastAsia" w:ascii="仿宋_GB2312" w:hAnsi="仿宋" w:eastAsia="仿宋_GB2312" w:cs="仿宋"/>
          <w:color w:val="000000"/>
          <w:kern w:val="0"/>
          <w:sz w:val="32"/>
          <w:szCs w:val="32"/>
          <w:highlight w:val="none"/>
        </w:rPr>
        <w:t>0%支付违约金给甲方，由此给甲方造成的损失（包括但不限于直接损失、间接损失、律师费、诉讼费、保全费等），违约方还应及时、完整的赔偿。若守约方选择继续履行的，合同继续履行，违约方应当按照前述约定继续承担违约责任。</w:t>
      </w:r>
    </w:p>
    <w:p w14:paraId="278F6369">
      <w:pPr>
        <w:autoSpaceDE w:val="0"/>
        <w:autoSpaceDN w:val="0"/>
        <w:adjustRightInd w:val="0"/>
        <w:spacing w:line="560" w:lineRule="exact"/>
        <w:ind w:firstLine="640" w:firstLineChars="200"/>
        <w:jc w:val="left"/>
        <w:rPr>
          <w:rFonts w:ascii="仿宋_GB2312" w:hAnsi="仿宋" w:eastAsia="仿宋_GB2312" w:cs="仿宋"/>
          <w:color w:val="000000"/>
          <w:kern w:val="0"/>
          <w:sz w:val="32"/>
          <w:szCs w:val="32"/>
          <w:highlight w:val="none"/>
        </w:rPr>
      </w:pPr>
      <w:r>
        <w:rPr>
          <w:rFonts w:ascii="仿宋_GB2312" w:hAnsi="仿宋" w:eastAsia="仿宋_GB2312" w:cs="仿宋"/>
          <w:color w:val="000000"/>
          <w:kern w:val="0"/>
          <w:sz w:val="32"/>
          <w:szCs w:val="32"/>
          <w:highlight w:val="none"/>
        </w:rPr>
        <w:t>2</w:t>
      </w:r>
      <w:r>
        <w:rPr>
          <w:rFonts w:hint="eastAsia" w:ascii="仿宋_GB2312" w:hAnsi="仿宋" w:eastAsia="仿宋_GB2312" w:cs="仿宋"/>
          <w:color w:val="000000"/>
          <w:kern w:val="0"/>
          <w:sz w:val="32"/>
          <w:szCs w:val="32"/>
          <w:highlight w:val="none"/>
        </w:rPr>
        <w:t>.经甲方审查发现，乙方未按国家或省、市有关技术标准、规程、规定完成任务，甲方有权要求乙方返工或解除合同，</w:t>
      </w:r>
      <w:r>
        <w:rPr>
          <w:rFonts w:ascii="仿宋_GB2312" w:hAnsi="仿宋" w:eastAsia="仿宋_GB2312" w:cs="仿宋"/>
          <w:color w:val="000000"/>
          <w:kern w:val="0"/>
          <w:sz w:val="32"/>
          <w:szCs w:val="32"/>
          <w:highlight w:val="none"/>
        </w:rPr>
        <w:t>且</w:t>
      </w:r>
      <w:r>
        <w:rPr>
          <w:rFonts w:hint="eastAsia" w:ascii="仿宋_GB2312" w:hAnsi="仿宋" w:eastAsia="仿宋_GB2312" w:cs="仿宋"/>
          <w:color w:val="000000"/>
          <w:kern w:val="0"/>
          <w:sz w:val="32"/>
          <w:szCs w:val="32"/>
          <w:highlight w:val="none"/>
        </w:rPr>
        <w:t>乙方应向甲方支付合同总金额</w:t>
      </w:r>
      <w:r>
        <w:rPr>
          <w:rFonts w:ascii="仿宋_GB2312" w:hAnsi="仿宋" w:eastAsia="仿宋_GB2312" w:cs="仿宋"/>
          <w:color w:val="000000"/>
          <w:kern w:val="0"/>
          <w:sz w:val="32"/>
          <w:szCs w:val="32"/>
          <w:highlight w:val="none"/>
        </w:rPr>
        <w:t>1</w:t>
      </w:r>
      <w:r>
        <w:rPr>
          <w:rFonts w:hint="eastAsia" w:ascii="仿宋_GB2312" w:hAnsi="仿宋" w:eastAsia="仿宋_GB2312" w:cs="仿宋"/>
          <w:color w:val="000000"/>
          <w:kern w:val="0"/>
          <w:sz w:val="32"/>
          <w:szCs w:val="32"/>
          <w:highlight w:val="none"/>
        </w:rPr>
        <w:t>0%的违约金，因此给甲方造成的损失（包括但不限于直接损失、间接损失、律师费、诉讼费、保全费等），乙方还应及时、完整的赔偿。</w:t>
      </w:r>
      <w:r>
        <w:rPr>
          <w:rFonts w:ascii="仿宋_GB2312" w:hAnsi="仿宋" w:eastAsia="仿宋_GB2312" w:cs="仿宋"/>
          <w:color w:val="000000"/>
          <w:kern w:val="0"/>
          <w:sz w:val="32"/>
          <w:szCs w:val="32"/>
          <w:highlight w:val="none"/>
        </w:rPr>
        <w:t>如要求乙方返工，乙方不得要求返工期间产生的费用。</w:t>
      </w:r>
    </w:p>
    <w:p w14:paraId="2C822AD9">
      <w:pPr>
        <w:adjustRightInd w:val="0"/>
        <w:snapToGrid w:val="0"/>
        <w:spacing w:line="560" w:lineRule="exact"/>
        <w:ind w:firstLine="640" w:firstLineChars="200"/>
        <w:contextualSpacing/>
        <w:jc w:val="left"/>
        <w:rPr>
          <w:rFonts w:ascii="黑体" w:hAnsi="黑体" w:eastAsia="黑体" w:cs="仿宋"/>
          <w:bCs/>
          <w:color w:val="000000"/>
          <w:sz w:val="32"/>
          <w:szCs w:val="32"/>
          <w:highlight w:val="none"/>
        </w:rPr>
      </w:pPr>
      <w:r>
        <w:rPr>
          <w:rFonts w:hint="eastAsia" w:ascii="黑体" w:hAnsi="黑体" w:eastAsia="黑体" w:cs="仿宋"/>
          <w:bCs/>
          <w:color w:val="000000"/>
          <w:sz w:val="32"/>
          <w:szCs w:val="32"/>
          <w:highlight w:val="none"/>
        </w:rPr>
        <w:t>十、争议解决</w:t>
      </w:r>
    </w:p>
    <w:p w14:paraId="0D51048E">
      <w:pPr>
        <w:autoSpaceDE w:val="0"/>
        <w:autoSpaceDN w:val="0"/>
        <w:adjustRightInd w:val="0"/>
        <w:spacing w:line="560" w:lineRule="exact"/>
        <w:ind w:firstLine="640" w:firstLineChars="200"/>
        <w:jc w:val="left"/>
        <w:rPr>
          <w:rFonts w:ascii="仿宋_GB2312" w:hAnsi="仿宋" w:eastAsia="仿宋_GB2312" w:cs="仿宋"/>
          <w:color w:val="000000"/>
          <w:kern w:val="0"/>
          <w:sz w:val="32"/>
          <w:szCs w:val="32"/>
          <w:highlight w:val="none"/>
        </w:rPr>
      </w:pPr>
      <w:r>
        <w:rPr>
          <w:rFonts w:hint="eastAsia" w:ascii="仿宋_GB2312" w:hAnsi="仿宋" w:eastAsia="仿宋_GB2312" w:cs="仿宋"/>
          <w:color w:val="000000"/>
          <w:kern w:val="0"/>
          <w:sz w:val="32"/>
          <w:szCs w:val="32"/>
          <w:highlight w:val="none"/>
        </w:rPr>
        <w:t>1.本合同在履行过程中发生的争议，由甲、乙双方当事人协商解决，协商不成的按下列第</w:t>
      </w:r>
      <w:r>
        <w:rPr>
          <w:rFonts w:hint="eastAsia" w:ascii="仿宋_GB2312" w:hAnsi="仿宋" w:eastAsia="仿宋_GB2312" w:cs="仿宋"/>
          <w:color w:val="000000"/>
          <w:kern w:val="0"/>
          <w:sz w:val="32"/>
          <w:szCs w:val="32"/>
          <w:highlight w:val="none"/>
          <w:u w:val="single"/>
        </w:rPr>
        <w:t xml:space="preserve"> （2） </w:t>
      </w:r>
      <w:r>
        <w:rPr>
          <w:rFonts w:hint="eastAsia" w:ascii="仿宋_GB2312" w:hAnsi="仿宋" w:eastAsia="仿宋_GB2312" w:cs="仿宋"/>
          <w:color w:val="000000"/>
          <w:kern w:val="0"/>
          <w:sz w:val="32"/>
          <w:szCs w:val="32"/>
          <w:highlight w:val="none"/>
        </w:rPr>
        <w:t>种方式解决：</w:t>
      </w:r>
    </w:p>
    <w:p w14:paraId="45EDF939">
      <w:pPr>
        <w:autoSpaceDE w:val="0"/>
        <w:autoSpaceDN w:val="0"/>
        <w:adjustRightInd w:val="0"/>
        <w:spacing w:line="560" w:lineRule="exact"/>
        <w:ind w:firstLine="640" w:firstLineChars="200"/>
        <w:jc w:val="left"/>
        <w:rPr>
          <w:rFonts w:ascii="仿宋_GB2312" w:hAnsi="仿宋" w:eastAsia="仿宋_GB2312" w:cs="仿宋"/>
          <w:color w:val="000000"/>
          <w:kern w:val="0"/>
          <w:sz w:val="32"/>
          <w:szCs w:val="32"/>
          <w:highlight w:val="none"/>
        </w:rPr>
      </w:pPr>
      <w:r>
        <w:rPr>
          <w:rFonts w:hint="eastAsia" w:ascii="仿宋_GB2312" w:hAnsi="仿宋" w:eastAsia="仿宋_GB2312" w:cs="仿宋"/>
          <w:color w:val="000000"/>
          <w:kern w:val="0"/>
          <w:sz w:val="32"/>
          <w:szCs w:val="32"/>
          <w:highlight w:val="none"/>
        </w:rPr>
        <w:t>（1）提交西安仲裁委员会仲裁；</w:t>
      </w:r>
    </w:p>
    <w:p w14:paraId="01FEAB51">
      <w:pPr>
        <w:autoSpaceDE w:val="0"/>
        <w:autoSpaceDN w:val="0"/>
        <w:adjustRightInd w:val="0"/>
        <w:spacing w:line="560" w:lineRule="exact"/>
        <w:ind w:firstLine="640" w:firstLineChars="200"/>
        <w:jc w:val="left"/>
        <w:rPr>
          <w:rFonts w:ascii="仿宋_GB2312" w:hAnsi="仿宋" w:eastAsia="仿宋_GB2312" w:cs="仿宋"/>
          <w:color w:val="000000"/>
          <w:kern w:val="0"/>
          <w:sz w:val="32"/>
          <w:szCs w:val="32"/>
          <w:highlight w:val="none"/>
        </w:rPr>
      </w:pPr>
      <w:r>
        <w:rPr>
          <w:rFonts w:hint="eastAsia" w:ascii="仿宋_GB2312" w:hAnsi="仿宋" w:eastAsia="仿宋_GB2312" w:cs="仿宋"/>
          <w:color w:val="000000"/>
          <w:kern w:val="0"/>
          <w:sz w:val="32"/>
          <w:szCs w:val="32"/>
          <w:highlight w:val="none"/>
        </w:rPr>
        <w:t>（2）向甲方所在地人民法院起诉。</w:t>
      </w:r>
    </w:p>
    <w:p w14:paraId="12334FC8">
      <w:pPr>
        <w:autoSpaceDE w:val="0"/>
        <w:autoSpaceDN w:val="0"/>
        <w:adjustRightInd w:val="0"/>
        <w:spacing w:line="560" w:lineRule="exact"/>
        <w:ind w:firstLine="640" w:firstLineChars="200"/>
        <w:jc w:val="left"/>
        <w:rPr>
          <w:rFonts w:ascii="仿宋_GB2312" w:hAnsi="仿宋" w:eastAsia="仿宋_GB2312" w:cs="仿宋"/>
          <w:color w:val="000000"/>
          <w:kern w:val="0"/>
          <w:sz w:val="32"/>
          <w:szCs w:val="32"/>
          <w:highlight w:val="none"/>
        </w:rPr>
      </w:pPr>
      <w:r>
        <w:rPr>
          <w:rFonts w:hint="eastAsia" w:ascii="仿宋_GB2312" w:hAnsi="仿宋" w:eastAsia="仿宋_GB2312" w:cs="仿宋"/>
          <w:color w:val="000000"/>
          <w:kern w:val="0"/>
          <w:sz w:val="32"/>
          <w:szCs w:val="32"/>
          <w:highlight w:val="none"/>
        </w:rPr>
        <w:t>2.本条款为独立条款，本合同的无效、变更、解除和终止均不影响本条款的效力。</w:t>
      </w:r>
    </w:p>
    <w:p w14:paraId="62EC9410">
      <w:pPr>
        <w:adjustRightInd w:val="0"/>
        <w:snapToGrid w:val="0"/>
        <w:spacing w:line="560" w:lineRule="exact"/>
        <w:ind w:firstLine="640" w:firstLineChars="200"/>
        <w:contextualSpacing/>
        <w:jc w:val="left"/>
        <w:rPr>
          <w:rFonts w:ascii="黑体" w:hAnsi="黑体" w:eastAsia="黑体" w:cs="仿宋"/>
          <w:bCs/>
          <w:color w:val="000000"/>
          <w:sz w:val="32"/>
          <w:szCs w:val="32"/>
          <w:highlight w:val="none"/>
        </w:rPr>
      </w:pPr>
      <w:r>
        <w:rPr>
          <w:rFonts w:hint="eastAsia" w:ascii="黑体" w:hAnsi="黑体" w:eastAsia="黑体" w:cs="仿宋"/>
          <w:bCs/>
          <w:color w:val="000000"/>
          <w:sz w:val="32"/>
          <w:szCs w:val="32"/>
          <w:highlight w:val="none"/>
        </w:rPr>
        <w:t>十一、合同变更</w:t>
      </w:r>
    </w:p>
    <w:p w14:paraId="37608F92">
      <w:pPr>
        <w:autoSpaceDE w:val="0"/>
        <w:autoSpaceDN w:val="0"/>
        <w:adjustRightInd w:val="0"/>
        <w:spacing w:line="560" w:lineRule="exact"/>
        <w:ind w:firstLine="640" w:firstLineChars="200"/>
        <w:jc w:val="left"/>
        <w:rPr>
          <w:rFonts w:ascii="仿宋_GB2312" w:hAnsi="仿宋" w:eastAsia="仿宋_GB2312" w:cs="仿宋"/>
          <w:color w:val="000000"/>
          <w:sz w:val="32"/>
          <w:szCs w:val="32"/>
          <w:highlight w:val="none"/>
        </w:rPr>
      </w:pPr>
      <w:r>
        <w:rPr>
          <w:rFonts w:hint="eastAsia" w:ascii="仿宋_GB2312" w:hAnsi="仿宋" w:eastAsia="仿宋_GB2312" w:cs="仿宋"/>
          <w:color w:val="000000"/>
          <w:sz w:val="32"/>
          <w:szCs w:val="32"/>
          <w:highlight w:val="none"/>
        </w:rPr>
        <w:t>在合同的执行期内，双方均不得随意变更或解除合同。如因项目需求情况发生变化，需要项目变更的，经双方协商后签订项目变更协议；如双方变更事项不能达成一致的，仍按原合同履行，否则视为违约。</w:t>
      </w:r>
    </w:p>
    <w:p w14:paraId="49E0B601">
      <w:pPr>
        <w:adjustRightInd w:val="0"/>
        <w:snapToGrid w:val="0"/>
        <w:spacing w:line="560" w:lineRule="exact"/>
        <w:ind w:firstLine="640" w:firstLineChars="200"/>
        <w:contextualSpacing/>
        <w:jc w:val="left"/>
        <w:rPr>
          <w:rFonts w:ascii="黑体" w:hAnsi="黑体" w:eastAsia="黑体" w:cs="仿宋"/>
          <w:bCs/>
          <w:color w:val="000000"/>
          <w:sz w:val="32"/>
          <w:szCs w:val="32"/>
          <w:highlight w:val="none"/>
        </w:rPr>
      </w:pPr>
      <w:r>
        <w:rPr>
          <w:rFonts w:hint="eastAsia" w:ascii="黑体" w:hAnsi="黑体" w:eastAsia="黑体" w:cs="仿宋"/>
          <w:bCs/>
          <w:color w:val="000000"/>
          <w:sz w:val="32"/>
          <w:szCs w:val="32"/>
          <w:highlight w:val="none"/>
        </w:rPr>
        <w:t>十二、其他条款</w:t>
      </w:r>
    </w:p>
    <w:p w14:paraId="71B3724F">
      <w:pPr>
        <w:autoSpaceDE w:val="0"/>
        <w:autoSpaceDN w:val="0"/>
        <w:adjustRightInd w:val="0"/>
        <w:spacing w:line="560" w:lineRule="exact"/>
        <w:ind w:firstLine="640" w:firstLineChars="200"/>
        <w:jc w:val="left"/>
        <w:rPr>
          <w:rFonts w:ascii="仿宋_GB2312" w:hAnsi="仿宋" w:eastAsia="仿宋_GB2312" w:cs="仿宋"/>
          <w:color w:val="000000"/>
          <w:sz w:val="32"/>
          <w:szCs w:val="32"/>
          <w:highlight w:val="none"/>
        </w:rPr>
      </w:pPr>
      <w:r>
        <w:rPr>
          <w:rFonts w:hint="eastAsia" w:ascii="仿宋_GB2312" w:hAnsi="仿宋" w:eastAsia="仿宋_GB2312" w:cs="仿宋"/>
          <w:color w:val="000000"/>
          <w:sz w:val="32"/>
          <w:szCs w:val="32"/>
          <w:highlight w:val="none"/>
        </w:rPr>
        <w:t>1.本合同一式</w:t>
      </w:r>
      <w:r>
        <w:rPr>
          <w:rFonts w:hint="eastAsia" w:ascii="仿宋_GB2312" w:hAnsi="仿宋" w:eastAsia="仿宋_GB2312" w:cs="仿宋"/>
          <w:color w:val="000000"/>
          <w:sz w:val="32"/>
          <w:szCs w:val="32"/>
          <w:highlight w:val="none"/>
          <w:u w:val="single"/>
        </w:rPr>
        <w:t xml:space="preserve">    </w:t>
      </w:r>
      <w:r>
        <w:rPr>
          <w:rFonts w:hint="eastAsia" w:ascii="仿宋_GB2312" w:hAnsi="仿宋" w:eastAsia="仿宋_GB2312" w:cs="仿宋"/>
          <w:color w:val="000000"/>
          <w:sz w:val="32"/>
          <w:szCs w:val="32"/>
          <w:highlight w:val="none"/>
        </w:rPr>
        <w:t xml:space="preserve">份，甲方持 </w:t>
      </w:r>
      <w:r>
        <w:rPr>
          <w:rFonts w:hint="eastAsia" w:ascii="仿宋_GB2312" w:hAnsi="仿宋" w:eastAsia="仿宋_GB2312" w:cs="仿宋"/>
          <w:color w:val="000000"/>
          <w:sz w:val="32"/>
          <w:szCs w:val="32"/>
          <w:highlight w:val="none"/>
          <w:u w:val="single"/>
        </w:rPr>
        <w:t xml:space="preserve">     </w:t>
      </w:r>
      <w:r>
        <w:rPr>
          <w:rFonts w:hint="eastAsia" w:ascii="仿宋_GB2312" w:hAnsi="仿宋" w:eastAsia="仿宋_GB2312" w:cs="仿宋"/>
          <w:color w:val="000000"/>
          <w:sz w:val="32"/>
          <w:szCs w:val="32"/>
          <w:highlight w:val="none"/>
        </w:rPr>
        <w:t>份，乙方持</w:t>
      </w:r>
      <w:r>
        <w:rPr>
          <w:rFonts w:hint="eastAsia" w:ascii="仿宋_GB2312" w:hAnsi="仿宋" w:eastAsia="仿宋_GB2312" w:cs="仿宋"/>
          <w:color w:val="000000"/>
          <w:sz w:val="32"/>
          <w:szCs w:val="32"/>
          <w:highlight w:val="none"/>
          <w:u w:val="single"/>
        </w:rPr>
        <w:t xml:space="preserve">     </w:t>
      </w:r>
      <w:r>
        <w:rPr>
          <w:rFonts w:hint="eastAsia" w:ascii="仿宋_GB2312" w:hAnsi="仿宋" w:eastAsia="仿宋_GB2312" w:cs="仿宋"/>
          <w:color w:val="000000"/>
          <w:sz w:val="32"/>
          <w:szCs w:val="32"/>
          <w:highlight w:val="none"/>
        </w:rPr>
        <w:t>份。甲、乙双方法定代表人（或委托代理人）签字并加盖单位公章后生效，合同执行完毕后</w:t>
      </w:r>
      <w:r>
        <w:rPr>
          <w:rFonts w:ascii="仿宋_GB2312" w:hAnsi="仿宋" w:eastAsia="仿宋_GB2312" w:cs="仿宋"/>
          <w:color w:val="000000"/>
          <w:sz w:val="32"/>
          <w:szCs w:val="32"/>
          <w:highlight w:val="none"/>
        </w:rPr>
        <w:t>，合同终止</w:t>
      </w:r>
      <w:r>
        <w:rPr>
          <w:rFonts w:hint="eastAsia" w:ascii="仿宋_GB2312" w:hAnsi="仿宋" w:eastAsia="仿宋_GB2312" w:cs="仿宋"/>
          <w:color w:val="000000"/>
          <w:sz w:val="32"/>
          <w:szCs w:val="32"/>
          <w:highlight w:val="none"/>
        </w:rPr>
        <w:t>。</w:t>
      </w:r>
    </w:p>
    <w:p w14:paraId="21C4F0A0">
      <w:pPr>
        <w:autoSpaceDE w:val="0"/>
        <w:autoSpaceDN w:val="0"/>
        <w:adjustRightInd w:val="0"/>
        <w:spacing w:line="560" w:lineRule="exact"/>
        <w:ind w:firstLine="640" w:firstLineChars="200"/>
        <w:jc w:val="left"/>
        <w:rPr>
          <w:rFonts w:ascii="仿宋_GB2312" w:hAnsi="仿宋" w:eastAsia="仿宋_GB2312" w:cs="仿宋"/>
          <w:color w:val="000000"/>
          <w:sz w:val="32"/>
          <w:szCs w:val="32"/>
          <w:highlight w:val="none"/>
        </w:rPr>
      </w:pPr>
      <w:r>
        <w:rPr>
          <w:rFonts w:hint="eastAsia" w:ascii="仿宋_GB2312" w:hAnsi="仿宋" w:eastAsia="仿宋_GB2312" w:cs="仿宋"/>
          <w:color w:val="000000"/>
          <w:sz w:val="32"/>
          <w:szCs w:val="32"/>
          <w:highlight w:val="none"/>
        </w:rPr>
        <w:t>2.本合同未尽事宜，经双方协调一致，应增加补充条款。补充条款是合同组成部分，补充协议与本文本具有同等效力。</w:t>
      </w:r>
    </w:p>
    <w:p w14:paraId="70513E39">
      <w:pPr>
        <w:autoSpaceDE w:val="0"/>
        <w:autoSpaceDN w:val="0"/>
        <w:adjustRightInd w:val="0"/>
        <w:spacing w:line="560" w:lineRule="exact"/>
        <w:ind w:firstLine="640" w:firstLineChars="200"/>
        <w:jc w:val="left"/>
        <w:rPr>
          <w:rFonts w:ascii="仿宋_GB2312" w:hAnsi="仿宋" w:eastAsia="仿宋_GB2312" w:cs="仿宋"/>
          <w:color w:val="000000"/>
          <w:sz w:val="32"/>
          <w:szCs w:val="32"/>
          <w:highlight w:val="none"/>
        </w:rPr>
      </w:pPr>
      <w:r>
        <w:rPr>
          <w:rFonts w:ascii="仿宋_GB2312" w:hAnsi="仿宋" w:eastAsia="仿宋_GB2312" w:cs="仿宋"/>
          <w:color w:val="000000"/>
          <w:sz w:val="32"/>
          <w:szCs w:val="32"/>
          <w:highlight w:val="none"/>
        </w:rPr>
        <w:t>3.甲、乙双方确认本合同尾部写明的地址和方式作为本合同下通知事项以及所涉债务/义务的催收和诉讼（仲裁）文书（包括但不限于起诉状（或仲裁申请书）及证据、传票、应诉通知书、举证通知书、开庭通知书、判决书（裁决书）、裁定书、调解书、执行通知书、限期履行通知书等诉讼审理以及执行阶段法律司法文书）送达地址和送达方式。上述法律文书以本合同写明的任一方式送达到上述任一地址，均视为送达（指定代收人送达视为送达）。如上述送达地址和联系方式有变更的，一方应当提前十个工作日以书面方式通知另一方，因一方提供地址错误或未及时向其另一方进行地址变更通知而引起送达不能或引起的退函视为送达。</w:t>
      </w:r>
    </w:p>
    <w:p w14:paraId="0C863178">
      <w:pPr>
        <w:rPr>
          <w:highlight w:val="none"/>
        </w:rPr>
      </w:pPr>
    </w:p>
    <w:p w14:paraId="72FAF782">
      <w:pPr>
        <w:rPr>
          <w:highlight w:val="none"/>
        </w:rPr>
      </w:pPr>
    </w:p>
    <w:p w14:paraId="03D84D4E">
      <w:pPr>
        <w:rPr>
          <w:highlight w:val="none"/>
        </w:rPr>
      </w:pPr>
    </w:p>
    <w:p w14:paraId="22A1C2CA">
      <w:pPr>
        <w:rPr>
          <w:highlight w:val="none"/>
        </w:rPr>
      </w:pPr>
    </w:p>
    <w:p w14:paraId="3D33BA1A">
      <w:pPr>
        <w:rPr>
          <w:highlight w:val="none"/>
        </w:rPr>
      </w:pPr>
    </w:p>
    <w:p w14:paraId="51171D28">
      <w:pPr>
        <w:rPr>
          <w:rFonts w:hint="eastAsia"/>
          <w:highlight w:val="none"/>
        </w:rPr>
      </w:pPr>
    </w:p>
    <w:p w14:paraId="44324D68">
      <w:pPr>
        <w:rPr>
          <w:rFonts w:hint="eastAsia"/>
          <w:highlight w:val="none"/>
        </w:rPr>
      </w:pPr>
    </w:p>
    <w:p w14:paraId="44983870">
      <w:pPr>
        <w:rPr>
          <w:rFonts w:hint="eastAsia"/>
          <w:highlight w:val="none"/>
        </w:rPr>
      </w:pPr>
    </w:p>
    <w:p w14:paraId="325C6E1F">
      <w:pPr>
        <w:rPr>
          <w:rFonts w:hint="eastAsia"/>
          <w:highlight w:val="none"/>
        </w:rPr>
      </w:pPr>
    </w:p>
    <w:p w14:paraId="4DCEFD26">
      <w:pPr>
        <w:rPr>
          <w:rFonts w:hint="eastAsia"/>
          <w:highlight w:val="none"/>
        </w:rPr>
      </w:pPr>
    </w:p>
    <w:p w14:paraId="525969C3">
      <w:pPr>
        <w:rPr>
          <w:rFonts w:hint="eastAsia"/>
          <w:highlight w:val="none"/>
        </w:rPr>
      </w:pPr>
    </w:p>
    <w:p w14:paraId="1C92595E">
      <w:pPr>
        <w:rPr>
          <w:rFonts w:hint="eastAsia"/>
          <w:highlight w:val="none"/>
        </w:rPr>
      </w:pPr>
    </w:p>
    <w:p w14:paraId="3B7411F8">
      <w:pPr>
        <w:rPr>
          <w:rFonts w:hint="eastAsia"/>
          <w:highlight w:val="none"/>
        </w:rPr>
      </w:pPr>
    </w:p>
    <w:p w14:paraId="2F6B13A7">
      <w:pPr>
        <w:rPr>
          <w:rFonts w:hint="eastAsia"/>
          <w:highlight w:val="none"/>
        </w:rPr>
      </w:pPr>
    </w:p>
    <w:p w14:paraId="014F2847">
      <w:pPr>
        <w:rPr>
          <w:rFonts w:hint="eastAsia"/>
          <w:highlight w:val="none"/>
        </w:rPr>
      </w:pPr>
    </w:p>
    <w:p w14:paraId="2BAD284D">
      <w:pPr>
        <w:rPr>
          <w:rFonts w:hint="eastAsia"/>
          <w:highlight w:val="none"/>
        </w:rPr>
      </w:pPr>
    </w:p>
    <w:p w14:paraId="2A2E2A44">
      <w:pPr>
        <w:rPr>
          <w:rFonts w:hint="eastAsia"/>
          <w:highlight w:val="none"/>
        </w:rPr>
      </w:pPr>
    </w:p>
    <w:p w14:paraId="147A3446">
      <w:pPr>
        <w:rPr>
          <w:rFonts w:hint="eastAsia"/>
          <w:highlight w:val="none"/>
        </w:rPr>
      </w:pPr>
    </w:p>
    <w:p w14:paraId="416A500E">
      <w:pPr>
        <w:rPr>
          <w:rFonts w:hint="eastAsia"/>
          <w:highlight w:val="none"/>
        </w:rPr>
      </w:pPr>
    </w:p>
    <w:p w14:paraId="23FAEBC1">
      <w:pPr>
        <w:rPr>
          <w:rFonts w:hint="eastAsia"/>
          <w:highlight w:val="none"/>
        </w:rPr>
      </w:pPr>
    </w:p>
    <w:p w14:paraId="792DB32E">
      <w:pPr>
        <w:rPr>
          <w:rFonts w:hint="eastAsia"/>
          <w:highlight w:val="none"/>
        </w:rPr>
      </w:pPr>
    </w:p>
    <w:p w14:paraId="7318E373">
      <w:pPr>
        <w:rPr>
          <w:rFonts w:hint="eastAsia"/>
          <w:highlight w:val="none"/>
        </w:rPr>
      </w:pPr>
    </w:p>
    <w:p w14:paraId="6ED541BC">
      <w:pPr>
        <w:rPr>
          <w:rFonts w:hint="eastAsia"/>
          <w:highlight w:val="none"/>
        </w:rPr>
      </w:pPr>
    </w:p>
    <w:p w14:paraId="3E89FD27">
      <w:pPr>
        <w:rPr>
          <w:rFonts w:hint="eastAsia"/>
          <w:highlight w:val="none"/>
        </w:rPr>
      </w:pPr>
    </w:p>
    <w:p w14:paraId="319316BB">
      <w:pPr>
        <w:rPr>
          <w:rFonts w:hint="eastAsia"/>
          <w:highlight w:val="none"/>
        </w:rPr>
      </w:pPr>
    </w:p>
    <w:p w14:paraId="0BDAFE82">
      <w:pPr>
        <w:rPr>
          <w:rFonts w:hint="eastAsia"/>
          <w:highlight w:val="none"/>
        </w:rPr>
      </w:pPr>
    </w:p>
    <w:p w14:paraId="15ACA4D2">
      <w:pPr>
        <w:pStyle w:val="3"/>
        <w:rPr>
          <w:highlight w:val="none"/>
        </w:rPr>
      </w:pPr>
      <w:r>
        <w:rPr>
          <w:rFonts w:hint="eastAsia"/>
          <w:highlight w:val="none"/>
        </w:rPr>
        <w:t>（以下无正文，为签署页）</w:t>
      </w:r>
    </w:p>
    <w:p w14:paraId="0B1CCA0A">
      <w:pPr>
        <w:rPr>
          <w:rFonts w:hint="eastAsia"/>
          <w:highlight w:val="none"/>
        </w:rPr>
      </w:pPr>
    </w:p>
    <w:tbl>
      <w:tblPr>
        <w:tblStyle w:val="5"/>
        <w:tblpPr w:leftFromText="180" w:rightFromText="180" w:vertAnchor="text" w:horzAnchor="page" w:tblpXSpec="center" w:tblpY="261"/>
        <w:tblOverlap w:val="never"/>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4394"/>
      </w:tblGrid>
      <w:tr w14:paraId="200EE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4928" w:type="dxa"/>
            <w:noWrap w:val="0"/>
            <w:vAlign w:val="center"/>
          </w:tcPr>
          <w:p w14:paraId="0641DD78">
            <w:pPr>
              <w:autoSpaceDE w:val="0"/>
              <w:autoSpaceDN w:val="0"/>
              <w:adjustRightInd w:val="0"/>
              <w:snapToGrid w:val="0"/>
              <w:spacing w:line="360" w:lineRule="auto"/>
              <w:jc w:val="center"/>
              <w:rPr>
                <w:rFonts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甲  方</w:t>
            </w:r>
          </w:p>
        </w:tc>
        <w:tc>
          <w:tcPr>
            <w:tcW w:w="4394" w:type="dxa"/>
            <w:noWrap w:val="0"/>
            <w:vAlign w:val="center"/>
          </w:tcPr>
          <w:p w14:paraId="70709AE8">
            <w:pPr>
              <w:autoSpaceDE w:val="0"/>
              <w:autoSpaceDN w:val="0"/>
              <w:adjustRightInd w:val="0"/>
              <w:snapToGrid w:val="0"/>
              <w:spacing w:line="360" w:lineRule="auto"/>
              <w:jc w:val="center"/>
              <w:rPr>
                <w:rFonts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乙  方</w:t>
            </w:r>
          </w:p>
        </w:tc>
      </w:tr>
      <w:tr w14:paraId="1BCE6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1" w:hRule="atLeast"/>
        </w:trPr>
        <w:tc>
          <w:tcPr>
            <w:tcW w:w="4928" w:type="dxa"/>
            <w:noWrap w:val="0"/>
            <w:vAlign w:val="center"/>
          </w:tcPr>
          <w:p w14:paraId="61BACA71">
            <w:pPr>
              <w:adjustRightInd w:val="0"/>
              <w:snapToGrid w:val="0"/>
              <w:spacing w:line="360" w:lineRule="auto"/>
              <w:jc w:val="center"/>
              <w:rPr>
                <w:rFonts w:ascii="仿宋_GB2312" w:hAnsi="仿宋_GB2312" w:eastAsia="仿宋_GB2312" w:cs="仿宋_GB2312"/>
                <w:color w:val="000000"/>
                <w:sz w:val="30"/>
                <w:szCs w:val="30"/>
                <w:highlight w:val="none"/>
              </w:rPr>
            </w:pPr>
            <w:r>
              <w:rPr>
                <w:rFonts w:hint="eastAsia" w:ascii="仿宋_GB2312" w:hAnsi="仿宋_GB2312" w:eastAsia="仿宋_GB2312" w:cs="仿宋_GB2312"/>
                <w:color w:val="000000"/>
                <w:sz w:val="30"/>
                <w:szCs w:val="30"/>
                <w:highlight w:val="none"/>
              </w:rPr>
              <w:t>西安市自然资源和规划局</w:t>
            </w:r>
          </w:p>
          <w:p w14:paraId="1A9E0BC7">
            <w:pPr>
              <w:pStyle w:val="2"/>
              <w:adjustRightInd w:val="0"/>
              <w:snapToGrid w:val="0"/>
              <w:outlineLvl w:val="1"/>
              <w:rPr>
                <w:rFonts w:ascii="仿宋_GB2312" w:hAnsi="仿宋_GB2312" w:eastAsia="仿宋_GB2312" w:cs="仿宋_GB2312"/>
                <w:color w:val="000000"/>
                <w:sz w:val="30"/>
                <w:szCs w:val="30"/>
                <w:highlight w:val="none"/>
              </w:rPr>
            </w:pPr>
          </w:p>
          <w:p w14:paraId="37F9C3FD">
            <w:pPr>
              <w:adjustRightInd w:val="0"/>
              <w:snapToGrid w:val="0"/>
              <w:spacing w:line="360" w:lineRule="auto"/>
              <w:jc w:val="center"/>
              <w:rPr>
                <w:rFonts w:ascii="仿宋_GB2312" w:hAnsi="仿宋_GB2312" w:eastAsia="仿宋_GB2312" w:cs="仿宋_GB2312"/>
                <w:color w:val="000000"/>
                <w:sz w:val="30"/>
                <w:szCs w:val="30"/>
                <w:highlight w:val="none"/>
              </w:rPr>
            </w:pPr>
            <w:r>
              <w:rPr>
                <w:rFonts w:hint="eastAsia" w:ascii="仿宋_GB2312" w:hAnsi="仿宋_GB2312" w:eastAsia="仿宋_GB2312" w:cs="仿宋_GB2312"/>
                <w:color w:val="000000"/>
                <w:sz w:val="30"/>
                <w:szCs w:val="30"/>
                <w:highlight w:val="none"/>
              </w:rPr>
              <w:t>（盖章）</w:t>
            </w:r>
          </w:p>
          <w:p w14:paraId="5CFC0B2F">
            <w:pPr>
              <w:pStyle w:val="2"/>
              <w:adjustRightInd w:val="0"/>
              <w:snapToGrid w:val="0"/>
              <w:ind w:firstLine="522" w:firstLineChars="200"/>
              <w:outlineLvl w:val="1"/>
              <w:rPr>
                <w:rFonts w:ascii="仿宋_GB2312" w:hAnsi="仿宋_GB2312" w:eastAsia="仿宋_GB2312" w:cs="仿宋_GB2312"/>
                <w:color w:val="000000"/>
                <w:spacing w:val="-20"/>
                <w:sz w:val="30"/>
                <w:szCs w:val="30"/>
                <w:highlight w:val="none"/>
              </w:rPr>
            </w:pPr>
          </w:p>
        </w:tc>
        <w:tc>
          <w:tcPr>
            <w:tcW w:w="4394" w:type="dxa"/>
            <w:noWrap w:val="0"/>
            <w:vAlign w:val="center"/>
          </w:tcPr>
          <w:p w14:paraId="5EE430AF">
            <w:pPr>
              <w:pStyle w:val="2"/>
              <w:adjustRightInd w:val="0"/>
              <w:snapToGrid w:val="0"/>
              <w:outlineLvl w:val="1"/>
              <w:rPr>
                <w:rFonts w:ascii="仿宋_GB2312" w:hAnsi="仿宋_GB2312" w:eastAsia="仿宋_GB2312" w:cs="仿宋_GB2312"/>
                <w:color w:val="000000"/>
                <w:sz w:val="30"/>
                <w:szCs w:val="30"/>
                <w:highlight w:val="none"/>
              </w:rPr>
            </w:pPr>
          </w:p>
          <w:p w14:paraId="7A038381">
            <w:pPr>
              <w:autoSpaceDE w:val="0"/>
              <w:autoSpaceDN w:val="0"/>
              <w:adjustRightInd w:val="0"/>
              <w:snapToGrid w:val="0"/>
              <w:spacing w:line="360" w:lineRule="auto"/>
              <w:jc w:val="center"/>
              <w:rPr>
                <w:rFonts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（盖章）</w:t>
            </w:r>
          </w:p>
          <w:p w14:paraId="7987C726">
            <w:pPr>
              <w:pStyle w:val="2"/>
              <w:autoSpaceDE w:val="0"/>
              <w:autoSpaceDN w:val="0"/>
              <w:adjustRightInd w:val="0"/>
              <w:snapToGrid w:val="0"/>
              <w:outlineLvl w:val="1"/>
              <w:rPr>
                <w:rFonts w:ascii="仿宋_GB2312" w:hAnsi="仿宋_GB2312" w:eastAsia="仿宋_GB2312" w:cs="仿宋_GB2312"/>
                <w:color w:val="000000"/>
                <w:spacing w:val="-20"/>
                <w:sz w:val="30"/>
                <w:szCs w:val="30"/>
                <w:highlight w:val="none"/>
              </w:rPr>
            </w:pPr>
          </w:p>
        </w:tc>
      </w:tr>
      <w:tr w14:paraId="0590E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trPr>
        <w:tc>
          <w:tcPr>
            <w:tcW w:w="4928" w:type="dxa"/>
            <w:noWrap w:val="0"/>
            <w:vAlign w:val="top"/>
          </w:tcPr>
          <w:p w14:paraId="0530B57F">
            <w:pPr>
              <w:widowControl/>
              <w:rPr>
                <w:rFonts w:ascii="仿宋_GB2312" w:hAnsi="仿宋_GB2312" w:eastAsia="仿宋_GB2312" w:cs="仿宋_GB2312"/>
                <w:color w:val="000000"/>
                <w:sz w:val="30"/>
                <w:szCs w:val="30"/>
                <w:highlight w:val="none"/>
              </w:rPr>
            </w:pPr>
            <w:r>
              <w:rPr>
                <w:rFonts w:hint="eastAsia" w:ascii="仿宋_GB2312" w:hAnsi="仿宋_GB2312" w:eastAsia="仿宋_GB2312" w:cs="仿宋_GB2312"/>
                <w:color w:val="000000"/>
                <w:sz w:val="30"/>
                <w:szCs w:val="30"/>
                <w:highlight w:val="none"/>
              </w:rPr>
              <w:t>地址：</w:t>
            </w:r>
            <w:r>
              <w:rPr>
                <w:rFonts w:ascii="仿宋_GB2312" w:hAnsi="仿宋_GB2312" w:eastAsia="仿宋_GB2312" w:cs="仿宋_GB2312"/>
                <w:color w:val="000000"/>
                <w:sz w:val="30"/>
                <w:szCs w:val="30"/>
                <w:highlight w:val="none"/>
              </w:rPr>
              <w:t xml:space="preserve"> </w:t>
            </w:r>
          </w:p>
        </w:tc>
        <w:tc>
          <w:tcPr>
            <w:tcW w:w="4394" w:type="dxa"/>
            <w:noWrap w:val="0"/>
            <w:vAlign w:val="top"/>
          </w:tcPr>
          <w:p w14:paraId="2DB29A3F">
            <w:pPr>
              <w:rPr>
                <w:rFonts w:hint="eastAsia"/>
                <w:highlight w:val="none"/>
              </w:rPr>
            </w:pPr>
            <w:r>
              <w:rPr>
                <w:rFonts w:hint="eastAsia" w:ascii="仿宋_GB2312" w:hAnsi="仿宋_GB2312" w:eastAsia="仿宋_GB2312" w:cs="仿宋_GB2312"/>
                <w:color w:val="000000"/>
                <w:sz w:val="30"/>
                <w:szCs w:val="30"/>
                <w:highlight w:val="none"/>
              </w:rPr>
              <w:t>地址：</w:t>
            </w:r>
          </w:p>
        </w:tc>
      </w:tr>
      <w:tr w14:paraId="036A3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4928" w:type="dxa"/>
            <w:noWrap w:val="0"/>
            <w:vAlign w:val="center"/>
          </w:tcPr>
          <w:p w14:paraId="2BDC3F42">
            <w:pPr>
              <w:autoSpaceDE w:val="0"/>
              <w:autoSpaceDN w:val="0"/>
              <w:adjustRightInd w:val="0"/>
              <w:snapToGrid w:val="0"/>
              <w:spacing w:line="360" w:lineRule="auto"/>
              <w:jc w:val="left"/>
              <w:rPr>
                <w:rFonts w:hint="eastAsia"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邮政编码：</w:t>
            </w:r>
          </w:p>
        </w:tc>
        <w:tc>
          <w:tcPr>
            <w:tcW w:w="4394" w:type="dxa"/>
            <w:noWrap w:val="0"/>
            <w:vAlign w:val="center"/>
          </w:tcPr>
          <w:p w14:paraId="2237F651">
            <w:pPr>
              <w:autoSpaceDE w:val="0"/>
              <w:autoSpaceDN w:val="0"/>
              <w:adjustRightInd w:val="0"/>
              <w:snapToGrid w:val="0"/>
              <w:spacing w:line="360" w:lineRule="auto"/>
              <w:jc w:val="left"/>
              <w:rPr>
                <w:rFonts w:hint="eastAsia"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邮政编码：</w:t>
            </w:r>
          </w:p>
        </w:tc>
      </w:tr>
      <w:tr w14:paraId="4F261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3" w:hRule="atLeast"/>
        </w:trPr>
        <w:tc>
          <w:tcPr>
            <w:tcW w:w="4928" w:type="dxa"/>
            <w:noWrap w:val="0"/>
            <w:vAlign w:val="top"/>
          </w:tcPr>
          <w:p w14:paraId="7B1BA213">
            <w:pPr>
              <w:autoSpaceDE w:val="0"/>
              <w:autoSpaceDN w:val="0"/>
              <w:adjustRightInd w:val="0"/>
              <w:snapToGrid w:val="0"/>
              <w:spacing w:line="360" w:lineRule="auto"/>
              <w:jc w:val="left"/>
              <w:rPr>
                <w:rFonts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法定代表人或委托代理人：（签字）：</w:t>
            </w:r>
          </w:p>
        </w:tc>
        <w:tc>
          <w:tcPr>
            <w:tcW w:w="4394" w:type="dxa"/>
            <w:noWrap w:val="0"/>
            <w:vAlign w:val="top"/>
          </w:tcPr>
          <w:p w14:paraId="6BC9DF95">
            <w:pPr>
              <w:autoSpaceDE w:val="0"/>
              <w:autoSpaceDN w:val="0"/>
              <w:adjustRightInd w:val="0"/>
              <w:snapToGrid w:val="0"/>
              <w:spacing w:line="360" w:lineRule="auto"/>
              <w:jc w:val="left"/>
              <w:rPr>
                <w:rFonts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法定代表人或委托代理人：（签字）：</w:t>
            </w:r>
          </w:p>
        </w:tc>
      </w:tr>
      <w:tr w14:paraId="5CEAA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9" w:hRule="atLeast"/>
        </w:trPr>
        <w:tc>
          <w:tcPr>
            <w:tcW w:w="4928" w:type="dxa"/>
            <w:noWrap w:val="0"/>
            <w:vAlign w:val="top"/>
          </w:tcPr>
          <w:p w14:paraId="45E18B31">
            <w:pPr>
              <w:autoSpaceDE w:val="0"/>
              <w:autoSpaceDN w:val="0"/>
              <w:adjustRightInd w:val="0"/>
              <w:snapToGrid w:val="0"/>
              <w:spacing w:line="360" w:lineRule="auto"/>
              <w:jc w:val="left"/>
              <w:rPr>
                <w:rFonts w:hint="eastAsia"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经办人：（签字）</w:t>
            </w:r>
          </w:p>
        </w:tc>
        <w:tc>
          <w:tcPr>
            <w:tcW w:w="4394" w:type="dxa"/>
            <w:noWrap w:val="0"/>
            <w:vAlign w:val="top"/>
          </w:tcPr>
          <w:p w14:paraId="5FCBD4E4">
            <w:pPr>
              <w:autoSpaceDE w:val="0"/>
              <w:autoSpaceDN w:val="0"/>
              <w:adjustRightInd w:val="0"/>
              <w:snapToGrid w:val="0"/>
              <w:spacing w:line="360" w:lineRule="auto"/>
              <w:jc w:val="left"/>
              <w:rPr>
                <w:rFonts w:hint="eastAsia"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经办人：（签字）</w:t>
            </w:r>
          </w:p>
        </w:tc>
      </w:tr>
      <w:tr w14:paraId="1A628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4928" w:type="dxa"/>
            <w:noWrap w:val="0"/>
            <w:vAlign w:val="center"/>
          </w:tcPr>
          <w:p w14:paraId="2C808467">
            <w:pPr>
              <w:autoSpaceDE w:val="0"/>
              <w:autoSpaceDN w:val="0"/>
              <w:adjustRightInd w:val="0"/>
              <w:snapToGrid w:val="0"/>
              <w:spacing w:line="360" w:lineRule="auto"/>
              <w:rPr>
                <w:rFonts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电话：</w:t>
            </w:r>
          </w:p>
        </w:tc>
        <w:tc>
          <w:tcPr>
            <w:tcW w:w="4394" w:type="dxa"/>
            <w:noWrap w:val="0"/>
            <w:vAlign w:val="center"/>
          </w:tcPr>
          <w:p w14:paraId="5689F8B7">
            <w:pPr>
              <w:autoSpaceDE w:val="0"/>
              <w:autoSpaceDN w:val="0"/>
              <w:adjustRightInd w:val="0"/>
              <w:snapToGrid w:val="0"/>
              <w:spacing w:line="360" w:lineRule="auto"/>
              <w:rPr>
                <w:rFonts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电话：</w:t>
            </w:r>
          </w:p>
        </w:tc>
      </w:tr>
      <w:tr w14:paraId="01C4F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4928" w:type="dxa"/>
            <w:noWrap w:val="0"/>
            <w:vAlign w:val="center"/>
          </w:tcPr>
          <w:p w14:paraId="2D6E1520">
            <w:pPr>
              <w:autoSpaceDE w:val="0"/>
              <w:autoSpaceDN w:val="0"/>
              <w:adjustRightInd w:val="0"/>
              <w:snapToGrid w:val="0"/>
              <w:spacing w:line="360" w:lineRule="auto"/>
              <w:rPr>
                <w:rFonts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传真：</w:t>
            </w:r>
          </w:p>
        </w:tc>
        <w:tc>
          <w:tcPr>
            <w:tcW w:w="4394" w:type="dxa"/>
            <w:noWrap w:val="0"/>
            <w:vAlign w:val="center"/>
          </w:tcPr>
          <w:p w14:paraId="40305DD0">
            <w:pPr>
              <w:autoSpaceDE w:val="0"/>
              <w:autoSpaceDN w:val="0"/>
              <w:adjustRightInd w:val="0"/>
              <w:snapToGrid w:val="0"/>
              <w:spacing w:line="360" w:lineRule="auto"/>
              <w:rPr>
                <w:rFonts w:hint="eastAsia"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传真：</w:t>
            </w:r>
          </w:p>
        </w:tc>
      </w:tr>
      <w:tr w14:paraId="4E655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trPr>
        <w:tc>
          <w:tcPr>
            <w:tcW w:w="4928" w:type="dxa"/>
            <w:noWrap w:val="0"/>
            <w:vAlign w:val="center"/>
          </w:tcPr>
          <w:p w14:paraId="46B9DC66">
            <w:pPr>
              <w:autoSpaceDE w:val="0"/>
              <w:autoSpaceDN w:val="0"/>
              <w:adjustRightInd w:val="0"/>
              <w:snapToGrid w:val="0"/>
              <w:spacing w:line="360" w:lineRule="auto"/>
              <w:jc w:val="center"/>
              <w:rPr>
                <w:rFonts w:ascii="仿宋_GB2312" w:hAnsi="仿宋_GB2312" w:eastAsia="仿宋_GB2312" w:cs="仿宋_GB2312"/>
                <w:color w:val="000000"/>
                <w:spacing w:val="-20"/>
                <w:kern w:val="0"/>
                <w:sz w:val="30"/>
                <w:szCs w:val="30"/>
                <w:highlight w:val="none"/>
              </w:rPr>
            </w:pPr>
          </w:p>
        </w:tc>
        <w:tc>
          <w:tcPr>
            <w:tcW w:w="4394" w:type="dxa"/>
            <w:noWrap w:val="0"/>
            <w:vAlign w:val="center"/>
          </w:tcPr>
          <w:p w14:paraId="241BCD5A">
            <w:pPr>
              <w:autoSpaceDE w:val="0"/>
              <w:autoSpaceDN w:val="0"/>
              <w:adjustRightInd w:val="0"/>
              <w:snapToGrid w:val="0"/>
              <w:spacing w:line="360" w:lineRule="auto"/>
              <w:jc w:val="left"/>
              <w:rPr>
                <w:rFonts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开户银行：</w:t>
            </w:r>
          </w:p>
          <w:p w14:paraId="2E5A2A3C">
            <w:pPr>
              <w:autoSpaceDE w:val="0"/>
              <w:autoSpaceDN w:val="0"/>
              <w:adjustRightInd w:val="0"/>
              <w:snapToGrid w:val="0"/>
              <w:spacing w:line="360" w:lineRule="auto"/>
              <w:jc w:val="left"/>
              <w:rPr>
                <w:rFonts w:hint="eastAsia"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账号：</w:t>
            </w:r>
          </w:p>
        </w:tc>
      </w:tr>
      <w:tr w14:paraId="0E1AF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4928" w:type="dxa"/>
            <w:noWrap w:val="0"/>
            <w:vAlign w:val="center"/>
          </w:tcPr>
          <w:p w14:paraId="7E32EBF1">
            <w:pPr>
              <w:autoSpaceDE w:val="0"/>
              <w:autoSpaceDN w:val="0"/>
              <w:adjustRightInd w:val="0"/>
              <w:snapToGrid w:val="0"/>
              <w:spacing w:line="360" w:lineRule="auto"/>
              <w:rPr>
                <w:rFonts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 xml:space="preserve">日期： </w:t>
            </w:r>
            <w:r>
              <w:rPr>
                <w:rFonts w:ascii="仿宋_GB2312" w:hAnsi="仿宋_GB2312" w:eastAsia="仿宋_GB2312" w:cs="仿宋_GB2312"/>
                <w:color w:val="000000"/>
                <w:spacing w:val="-20"/>
                <w:kern w:val="0"/>
                <w:sz w:val="30"/>
                <w:szCs w:val="30"/>
                <w:highlight w:val="none"/>
              </w:rPr>
              <w:t xml:space="preserve">    </w:t>
            </w:r>
            <w:r>
              <w:rPr>
                <w:rFonts w:hint="eastAsia" w:ascii="仿宋_GB2312" w:hAnsi="仿宋_GB2312" w:eastAsia="仿宋_GB2312" w:cs="仿宋_GB2312"/>
                <w:color w:val="000000"/>
                <w:spacing w:val="-20"/>
                <w:kern w:val="0"/>
                <w:sz w:val="30"/>
                <w:szCs w:val="30"/>
                <w:highlight w:val="none"/>
              </w:rPr>
              <w:t xml:space="preserve">  年   月   日</w:t>
            </w:r>
          </w:p>
        </w:tc>
        <w:tc>
          <w:tcPr>
            <w:tcW w:w="4394" w:type="dxa"/>
            <w:noWrap w:val="0"/>
            <w:vAlign w:val="center"/>
          </w:tcPr>
          <w:p w14:paraId="65886B9E">
            <w:pPr>
              <w:autoSpaceDE w:val="0"/>
              <w:autoSpaceDN w:val="0"/>
              <w:adjustRightInd w:val="0"/>
              <w:snapToGrid w:val="0"/>
              <w:spacing w:line="360" w:lineRule="auto"/>
              <w:rPr>
                <w:rFonts w:ascii="仿宋_GB2312" w:hAnsi="仿宋_GB2312" w:eastAsia="仿宋_GB2312" w:cs="仿宋_GB2312"/>
                <w:color w:val="000000"/>
                <w:spacing w:val="-20"/>
                <w:kern w:val="0"/>
                <w:sz w:val="30"/>
                <w:szCs w:val="30"/>
                <w:highlight w:val="none"/>
              </w:rPr>
            </w:pPr>
            <w:r>
              <w:rPr>
                <w:rFonts w:hint="eastAsia" w:ascii="仿宋_GB2312" w:hAnsi="仿宋_GB2312" w:eastAsia="仿宋_GB2312" w:cs="仿宋_GB2312"/>
                <w:color w:val="000000"/>
                <w:spacing w:val="-20"/>
                <w:kern w:val="0"/>
                <w:sz w:val="30"/>
                <w:szCs w:val="30"/>
                <w:highlight w:val="none"/>
              </w:rPr>
              <w:t xml:space="preserve">日期： </w:t>
            </w:r>
            <w:r>
              <w:rPr>
                <w:rFonts w:ascii="仿宋_GB2312" w:hAnsi="仿宋_GB2312" w:eastAsia="仿宋_GB2312" w:cs="仿宋_GB2312"/>
                <w:color w:val="000000"/>
                <w:spacing w:val="-20"/>
                <w:kern w:val="0"/>
                <w:sz w:val="30"/>
                <w:szCs w:val="30"/>
                <w:highlight w:val="none"/>
              </w:rPr>
              <w:t xml:space="preserve">   </w:t>
            </w:r>
            <w:r>
              <w:rPr>
                <w:rFonts w:hint="eastAsia" w:ascii="仿宋_GB2312" w:hAnsi="仿宋_GB2312" w:eastAsia="仿宋_GB2312" w:cs="仿宋_GB2312"/>
                <w:color w:val="000000"/>
                <w:spacing w:val="-20"/>
                <w:kern w:val="0"/>
                <w:sz w:val="30"/>
                <w:szCs w:val="30"/>
                <w:highlight w:val="none"/>
              </w:rPr>
              <w:t xml:space="preserve">   年   月   日</w:t>
            </w:r>
          </w:p>
        </w:tc>
      </w:tr>
    </w:tbl>
    <w:p w14:paraId="7822E4A6">
      <w:pPr>
        <w:rPr>
          <w:sz w:val="32"/>
          <w:szCs w:val="32"/>
          <w:highlight w:val="none"/>
        </w:rPr>
      </w:pPr>
    </w:p>
    <w:p w14:paraId="42F12833">
      <w:pPr>
        <w:pStyle w:val="9"/>
        <w:rPr>
          <w:rFonts w:hint="eastAsia" w:ascii="仿宋_GB2312" w:hAnsi="仿宋_GB2312" w:eastAsia="仿宋_GB2312" w:cs="仿宋_GB2312"/>
          <w:highlight w:val="none"/>
          <w:lang w:val="en-US" w:eastAsia="zh-Hans"/>
        </w:rPr>
      </w:pPr>
    </w:p>
    <w:p w14:paraId="2C6908A9">
      <w:bookmarkStart w:id="3" w:name="_GoBack"/>
      <w:bookmarkEnd w:id="3"/>
    </w:p>
    <w:sectPr>
      <w:pgSz w:w="11906" w:h="16838"/>
      <w:pgMar w:top="1440" w:right="1576" w:bottom="1440" w:left="157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0000000000000000000"/>
    <w:charset w:val="00"/>
    <w:family w:val="auto"/>
    <w:pitch w:val="default"/>
    <w:sig w:usb0="00000000" w:usb1="00000000" w:usb2="00000000" w:usb3="00000000" w:csb0="00000000"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KSOFBE25B2F9">
    <w:panose1 w:val="02000000000000000000"/>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DCE33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FDBA0B">
                          <w:pPr>
                            <w:pStyle w:val="4"/>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14:paraId="60FDBA0B">
                    <w:pPr>
                      <w:pStyle w:val="4"/>
                    </w:pPr>
                  </w:p>
                </w:txbxContent>
              </v:textbox>
            </v:shape>
          </w:pict>
        </mc:Fallback>
      </mc:AlternateContent>
    </w:r>
    <w:r>
      <w:rPr>
        <w:rFonts w:hint="eastAsia"/>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96447"/>
    <w:multiLevelType w:val="singleLevel"/>
    <w:tmpl w:val="3AB96447"/>
    <w:lvl w:ilvl="0" w:tentative="0">
      <w:start w:val="2"/>
      <w:numFmt w:val="chineseCounting"/>
      <w:suff w:val="nothing"/>
      <w:lvlText w:val="%1、"/>
      <w:lvlJc w:val="left"/>
      <w:rPr>
        <w:rFonts w:hint="eastAsia"/>
      </w:rPr>
    </w:lvl>
  </w:abstractNum>
  <w:abstractNum w:abstractNumId="1">
    <w:nsid w:val="52BC3A05"/>
    <w:multiLevelType w:val="multilevel"/>
    <w:tmpl w:val="52BC3A05"/>
    <w:lvl w:ilvl="0" w:tentative="0">
      <w:start w:val="1"/>
      <w:numFmt w:val="chineseCountingThousand"/>
      <w:suff w:val="nothing"/>
      <w:lvlText w:val="（%1）"/>
      <w:lvlJc w:val="left"/>
      <w:pPr>
        <w:ind w:left="1415" w:hanging="855"/>
      </w:pPr>
      <w:rPr>
        <w:rFonts w:hint="default" w:eastAsia="仿宋"/>
      </w:rPr>
    </w:lvl>
    <w:lvl w:ilvl="1" w:tentative="0">
      <w:start w:val="1"/>
      <w:numFmt w:val="lowerLetter"/>
      <w:lvlText w:val="%2)"/>
      <w:lvlJc w:val="left"/>
      <w:pPr>
        <w:ind w:left="1400" w:hanging="420"/>
      </w:pPr>
      <w:rPr>
        <w:rFonts w:hint="eastAsia"/>
      </w:rPr>
    </w:lvl>
    <w:lvl w:ilvl="2" w:tentative="0">
      <w:start w:val="1"/>
      <w:numFmt w:val="lowerRoman"/>
      <w:lvlText w:val="%3."/>
      <w:lvlJc w:val="right"/>
      <w:pPr>
        <w:ind w:left="1820" w:hanging="420"/>
      </w:pPr>
      <w:rPr>
        <w:rFonts w:hint="eastAsia"/>
      </w:rPr>
    </w:lvl>
    <w:lvl w:ilvl="3" w:tentative="0">
      <w:start w:val="1"/>
      <w:numFmt w:val="decimal"/>
      <w:lvlText w:val="%4."/>
      <w:lvlJc w:val="left"/>
      <w:pPr>
        <w:ind w:left="2240" w:hanging="420"/>
      </w:pPr>
      <w:rPr>
        <w:rFonts w:hint="eastAsia"/>
      </w:rPr>
    </w:lvl>
    <w:lvl w:ilvl="4" w:tentative="0">
      <w:start w:val="1"/>
      <w:numFmt w:val="lowerLetter"/>
      <w:lvlText w:val="%5)"/>
      <w:lvlJc w:val="left"/>
      <w:pPr>
        <w:ind w:left="2660" w:hanging="420"/>
      </w:pPr>
      <w:rPr>
        <w:rFonts w:hint="eastAsia"/>
      </w:rPr>
    </w:lvl>
    <w:lvl w:ilvl="5" w:tentative="0">
      <w:start w:val="1"/>
      <w:numFmt w:val="lowerRoman"/>
      <w:lvlText w:val="%6."/>
      <w:lvlJc w:val="right"/>
      <w:pPr>
        <w:ind w:left="3080" w:hanging="420"/>
      </w:pPr>
      <w:rPr>
        <w:rFonts w:hint="eastAsia"/>
      </w:rPr>
    </w:lvl>
    <w:lvl w:ilvl="6" w:tentative="0">
      <w:start w:val="1"/>
      <w:numFmt w:val="decimal"/>
      <w:lvlText w:val="%7."/>
      <w:lvlJc w:val="left"/>
      <w:pPr>
        <w:ind w:left="3500" w:hanging="420"/>
      </w:pPr>
      <w:rPr>
        <w:rFonts w:hint="eastAsia"/>
      </w:rPr>
    </w:lvl>
    <w:lvl w:ilvl="7" w:tentative="0">
      <w:start w:val="1"/>
      <w:numFmt w:val="lowerLetter"/>
      <w:lvlText w:val="%8)"/>
      <w:lvlJc w:val="left"/>
      <w:pPr>
        <w:ind w:left="3920" w:hanging="420"/>
      </w:pPr>
      <w:rPr>
        <w:rFonts w:hint="eastAsia"/>
      </w:rPr>
    </w:lvl>
    <w:lvl w:ilvl="8" w:tentative="0">
      <w:start w:val="1"/>
      <w:numFmt w:val="lowerRoman"/>
      <w:lvlText w:val="%9."/>
      <w:lvlJc w:val="right"/>
      <w:pPr>
        <w:ind w:left="4340" w:hanging="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2B473A"/>
    <w:rsid w:val="0A2B47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2">
    <w:name w:val="heading 2"/>
    <w:basedOn w:val="1"/>
    <w:next w:val="1"/>
    <w:qFormat/>
    <w:uiPriority w:val="0"/>
    <w:pPr>
      <w:keepNext/>
      <w:tabs>
        <w:tab w:val="left" w:pos="2400"/>
        <w:tab w:val="left" w:pos="6900"/>
      </w:tabs>
      <w:spacing w:line="360" w:lineRule="auto"/>
      <w:jc w:val="center"/>
      <w:outlineLvl w:val="1"/>
    </w:pPr>
    <w:rPr>
      <w:rFonts w:ascii="Times New Roman" w:hAnsi="Times New Roman" w:eastAsia="宋体" w:cs="Times New Roman"/>
      <w:b/>
      <w:bCs/>
      <w:kern w:val="0"/>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仿宋_GB2312" w:cs="Times New Roman"/>
      <w:sz w:val="32"/>
      <w:szCs w:val="20"/>
    </w:rPr>
  </w:style>
  <w:style w:type="paragraph" w:styleId="4">
    <w:name w:val="footer"/>
    <w:basedOn w:val="1"/>
    <w:qFormat/>
    <w:uiPriority w:val="0"/>
    <w:pPr>
      <w:tabs>
        <w:tab w:val="center" w:pos="4153"/>
        <w:tab w:val="right" w:pos="8306"/>
      </w:tabs>
      <w:snapToGrid w:val="0"/>
      <w:jc w:val="left"/>
    </w:pPr>
    <w:rPr>
      <w:rFonts w:ascii="Calibri" w:hAnsi="Calibri" w:eastAsia="宋体" w:cs="Times New Roman"/>
      <w:sz w:val="18"/>
      <w:szCs w:val="18"/>
    </w:rPr>
  </w:style>
  <w:style w:type="paragraph" w:customStyle="1" w:styleId="7">
    <w:name w:val="正文（缩进 2 字符）"/>
    <w:basedOn w:val="1"/>
    <w:qFormat/>
    <w:uiPriority w:val="0"/>
    <w:pPr>
      <w:widowControl/>
      <w:spacing w:line="400" w:lineRule="exact"/>
      <w:ind w:firstLine="200" w:firstLineChars="200"/>
    </w:pPr>
    <w:rPr>
      <w:rFonts w:ascii="Calibri Light" w:hAnsi="Calibri Light" w:eastAsia="华文仿宋" w:cs="Times New Roman"/>
      <w:sz w:val="28"/>
      <w:szCs w:val="28"/>
    </w:rPr>
  </w:style>
  <w:style w:type="paragraph" w:customStyle="1" w:styleId="8">
    <w:name w:val="Body text|1"/>
    <w:basedOn w:val="1"/>
    <w:qFormat/>
    <w:uiPriority w:val="0"/>
    <w:pPr>
      <w:spacing w:line="434" w:lineRule="auto"/>
      <w:ind w:firstLine="400"/>
    </w:pPr>
    <w:rPr>
      <w:rFonts w:ascii="宋体" w:hAnsi="宋体" w:eastAsia="宋体" w:cs="宋体"/>
      <w:sz w:val="28"/>
      <w:szCs w:val="28"/>
      <w:lang w:val="zh-TW" w:eastAsia="zh-TW" w:bidi="zh-TW"/>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2025-12-11T09:16:00Z</dcterms:created>
  <dc:creator>YL</dc:creator>
  <cp:lastModifiedBy>YL</cp:lastModifiedBy>
  <dcterms:modified xsi:type="dcterms:W3CDTF">2025-12-11T09:16:47Z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E41EE4A6C5F74F8CB0DC4499D15F8E18_11</vt:lpwstr>
  </property>
  <property fmtid="{D5CDD505-2E9C-101B-9397-08002B2CF9AE}" pid="4" name="KSOTemplateDocerSaveRecord">
    <vt:lpwstr>eyJoZGlkIjoiNTI5ZDRiZWJhNjA5MjI4YTM0NTdiY2ZhOTYzNmZjODIiLCJ1c2VySWQiOiIxMTI5MzQ5OTE2In0=</vt:lpwstr>
  </property>
</Properties>
</file>