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12418B">
      <w:pPr>
        <w:pStyle w:val="4"/>
        <w:spacing w:line="800" w:lineRule="exact"/>
      </w:pPr>
      <w:r>
        <w:rPr>
          <w:b/>
          <w:sz w:val="28"/>
          <w:szCs w:val="28"/>
        </w:rPr>
        <w:t>合同编号：</w:t>
      </w:r>
      <w:r>
        <w:rPr>
          <w:rFonts w:ascii="宋体, SimSun" w:hAnsi="宋体, SimSun"/>
          <w:b/>
          <w:sz w:val="28"/>
          <w:szCs w:val="28"/>
        </w:rPr>
        <w:t>_____________</w:t>
      </w:r>
    </w:p>
    <w:p w14:paraId="05D4D6A0">
      <w:pPr>
        <w:pStyle w:val="4"/>
        <w:spacing w:line="800" w:lineRule="exact"/>
        <w:rPr>
          <w:rFonts w:eastAsia="黑体, SimHei"/>
          <w:b/>
          <w:sz w:val="24"/>
        </w:rPr>
      </w:pPr>
    </w:p>
    <w:p w14:paraId="311B63D7">
      <w:pPr>
        <w:pStyle w:val="4"/>
        <w:spacing w:line="800" w:lineRule="exact"/>
        <w:rPr>
          <w:rFonts w:eastAsia="黑体, SimHei"/>
          <w:b/>
          <w:sz w:val="24"/>
        </w:rPr>
      </w:pPr>
    </w:p>
    <w:p w14:paraId="1376D8E8">
      <w:pPr>
        <w:pStyle w:val="4"/>
        <w:spacing w:line="800" w:lineRule="exact"/>
        <w:rPr>
          <w:rFonts w:eastAsia="黑体, SimHei"/>
          <w:b/>
          <w:sz w:val="24"/>
        </w:rPr>
      </w:pPr>
    </w:p>
    <w:p w14:paraId="1A041491">
      <w:pPr>
        <w:pStyle w:val="4"/>
        <w:spacing w:line="800" w:lineRule="exact"/>
        <w:jc w:val="center"/>
        <w:rPr>
          <w:rFonts w:ascii="楷体" w:hAnsi="楷体" w:eastAsia="楷体" w:cs="楷体"/>
          <w:b/>
          <w:bCs/>
          <w:kern w:val="0"/>
          <w:sz w:val="52"/>
          <w:szCs w:val="52"/>
        </w:rPr>
      </w:pPr>
      <w:r>
        <w:rPr>
          <w:rFonts w:hint="eastAsia" w:ascii="楷体" w:hAnsi="楷体" w:eastAsia="楷体" w:cs="楷体"/>
          <w:b/>
          <w:bCs/>
          <w:kern w:val="0"/>
          <w:sz w:val="52"/>
          <w:szCs w:val="52"/>
        </w:rPr>
        <w:t>西安市医疗保障经办服务中心</w:t>
      </w:r>
    </w:p>
    <w:p w14:paraId="39D21FB4">
      <w:pPr>
        <w:pStyle w:val="4"/>
        <w:spacing w:line="800" w:lineRule="exact"/>
        <w:jc w:val="center"/>
        <w:rPr>
          <w:rFonts w:ascii="楷体" w:hAnsi="楷体" w:eastAsia="楷体" w:cs="楷体"/>
          <w:b/>
          <w:bCs/>
          <w:kern w:val="0"/>
          <w:sz w:val="52"/>
          <w:szCs w:val="52"/>
        </w:rPr>
      </w:pPr>
      <w:r>
        <w:rPr>
          <w:rFonts w:hint="eastAsia" w:ascii="楷体" w:hAnsi="楷体" w:eastAsia="楷体" w:cs="楷体"/>
          <w:b/>
          <w:bCs/>
          <w:kern w:val="0"/>
          <w:sz w:val="52"/>
          <w:szCs w:val="52"/>
        </w:rPr>
        <w:t>零星报销业务全城通办项目</w:t>
      </w:r>
    </w:p>
    <w:p w14:paraId="40E8D208">
      <w:pPr>
        <w:pStyle w:val="4"/>
        <w:spacing w:line="800" w:lineRule="exact"/>
        <w:jc w:val="center"/>
        <w:rPr>
          <w:rFonts w:ascii="楷体" w:hAnsi="楷体" w:eastAsia="楷体" w:cs="楷体"/>
          <w:b/>
          <w:bCs/>
          <w:kern w:val="0"/>
          <w:sz w:val="52"/>
          <w:szCs w:val="52"/>
        </w:rPr>
      </w:pPr>
      <w:r>
        <w:rPr>
          <w:rFonts w:hint="eastAsia" w:ascii="楷体" w:hAnsi="楷体" w:eastAsia="楷体" w:cs="楷体"/>
          <w:b/>
          <w:bCs/>
          <w:kern w:val="0"/>
          <w:sz w:val="52"/>
          <w:szCs w:val="52"/>
        </w:rPr>
        <w:t>合同书</w:t>
      </w:r>
    </w:p>
    <w:p w14:paraId="6690E8FE">
      <w:pPr>
        <w:pStyle w:val="4"/>
        <w:spacing w:line="800" w:lineRule="exact"/>
        <w:rPr>
          <w:b/>
          <w:sz w:val="24"/>
        </w:rPr>
      </w:pPr>
    </w:p>
    <w:p w14:paraId="3894229F">
      <w:pPr>
        <w:pStyle w:val="4"/>
        <w:spacing w:line="800" w:lineRule="exact"/>
        <w:rPr>
          <w:b/>
          <w:sz w:val="32"/>
        </w:rPr>
      </w:pPr>
      <w:r>
        <w:rPr>
          <w:b/>
          <w:sz w:val="32"/>
        </w:rPr>
        <w:tab/>
      </w:r>
    </w:p>
    <w:p w14:paraId="2213CB67">
      <w:pPr>
        <w:pStyle w:val="4"/>
        <w:spacing w:line="800" w:lineRule="exact"/>
        <w:rPr>
          <w:b/>
          <w:sz w:val="28"/>
          <w:szCs w:val="28"/>
        </w:rPr>
      </w:pPr>
    </w:p>
    <w:p w14:paraId="77826390">
      <w:pPr>
        <w:pStyle w:val="4"/>
        <w:spacing w:line="800" w:lineRule="exact"/>
        <w:rPr>
          <w:b/>
          <w:sz w:val="28"/>
          <w:szCs w:val="28"/>
        </w:rPr>
      </w:pPr>
    </w:p>
    <w:p w14:paraId="4B5ABD71">
      <w:pPr>
        <w:pStyle w:val="4"/>
        <w:spacing w:line="800" w:lineRule="exact"/>
        <w:rPr>
          <w:b/>
          <w:sz w:val="28"/>
          <w:szCs w:val="28"/>
        </w:rPr>
      </w:pPr>
    </w:p>
    <w:p w14:paraId="7F19C41B">
      <w:pPr>
        <w:pStyle w:val="4"/>
        <w:spacing w:line="800" w:lineRule="exact"/>
        <w:rPr>
          <w:b/>
          <w:sz w:val="28"/>
          <w:szCs w:val="28"/>
        </w:rPr>
      </w:pPr>
    </w:p>
    <w:p w14:paraId="29E4BCC3">
      <w:pPr>
        <w:pStyle w:val="4"/>
        <w:spacing w:line="800" w:lineRule="exact"/>
        <w:ind w:firstLine="562" w:firstLineChars="200"/>
        <w:rPr>
          <w:rFonts w:ascii="楷体" w:hAnsi="楷体" w:eastAsia="楷体" w:cs="楷体"/>
          <w:b/>
          <w:bCs/>
          <w:color w:val="000000"/>
          <w:kern w:val="0"/>
          <w:sz w:val="28"/>
        </w:rPr>
      </w:pPr>
      <w:r>
        <w:rPr>
          <w:rFonts w:hint="eastAsia" w:ascii="楷体" w:hAnsi="楷体" w:eastAsia="楷体" w:cs="楷体"/>
          <w:b/>
          <w:bCs/>
          <w:color w:val="000000"/>
          <w:kern w:val="0"/>
          <w:sz w:val="28"/>
        </w:rPr>
        <w:t>委托方（甲方）：</w:t>
      </w:r>
    </w:p>
    <w:p w14:paraId="6F895C88">
      <w:pPr>
        <w:pStyle w:val="4"/>
        <w:spacing w:line="800" w:lineRule="exact"/>
        <w:ind w:firstLine="562" w:firstLineChars="200"/>
        <w:rPr>
          <w:rFonts w:ascii="楷体" w:hAnsi="楷体" w:eastAsia="楷体" w:cs="楷体"/>
          <w:b/>
          <w:bCs/>
          <w:color w:val="000000"/>
          <w:kern w:val="0"/>
          <w:sz w:val="28"/>
        </w:rPr>
      </w:pPr>
      <w:r>
        <w:rPr>
          <w:rFonts w:hint="eastAsia" w:ascii="楷体" w:hAnsi="楷体" w:eastAsia="楷体" w:cs="楷体"/>
          <w:b/>
          <w:bCs/>
          <w:color w:val="000000"/>
          <w:kern w:val="0"/>
          <w:sz w:val="28"/>
        </w:rPr>
        <w:t>受托方（乙方）：</w:t>
      </w:r>
      <w:r>
        <w:rPr>
          <w:rFonts w:hint="eastAsia" w:ascii="楷体" w:hAnsi="楷体" w:eastAsia="楷体" w:cs="楷体"/>
          <w:b/>
          <w:bCs/>
          <w:color w:val="000000"/>
          <w:kern w:val="0"/>
          <w:sz w:val="28"/>
        </w:rPr>
        <w:tab/>
      </w:r>
    </w:p>
    <w:p w14:paraId="414695DD">
      <w:pPr>
        <w:pStyle w:val="4"/>
        <w:spacing w:line="800" w:lineRule="exact"/>
        <w:ind w:firstLine="562" w:firstLineChars="200"/>
        <w:rPr>
          <w:rFonts w:ascii="楷体" w:hAnsi="楷体" w:eastAsia="楷体" w:cs="楷体"/>
          <w:b/>
          <w:bCs/>
          <w:color w:val="000000"/>
          <w:kern w:val="0"/>
          <w:sz w:val="28"/>
        </w:rPr>
      </w:pPr>
      <w:r>
        <w:rPr>
          <w:rFonts w:hint="eastAsia" w:ascii="楷体" w:hAnsi="楷体" w:eastAsia="楷体" w:cs="楷体"/>
          <w:b/>
          <w:bCs/>
          <w:color w:val="000000"/>
          <w:kern w:val="0"/>
          <w:sz w:val="28"/>
        </w:rPr>
        <w:t>签订日期：2025年   月   日</w:t>
      </w:r>
    </w:p>
    <w:p w14:paraId="2C2B0D65">
      <w:pPr>
        <w:pStyle w:val="4"/>
        <w:spacing w:line="800" w:lineRule="exact"/>
        <w:rPr>
          <w:b/>
          <w:sz w:val="28"/>
          <w:szCs w:val="28"/>
        </w:rPr>
      </w:pPr>
    </w:p>
    <w:p w14:paraId="3989FBC2">
      <w:pPr>
        <w:pStyle w:val="4"/>
        <w:spacing w:line="520" w:lineRule="exact"/>
        <w:jc w:val="center"/>
        <w:rPr>
          <w:rFonts w:ascii="楷体" w:hAnsi="楷体" w:eastAsia="楷体" w:cs="楷体"/>
          <w:b/>
          <w:kern w:val="2"/>
          <w:sz w:val="32"/>
          <w:szCs w:val="32"/>
        </w:rPr>
      </w:pPr>
      <w:r>
        <w:rPr>
          <w:rFonts w:hint="eastAsia" w:ascii="楷体" w:hAnsi="楷体" w:eastAsia="楷体" w:cs="楷体"/>
          <w:b/>
          <w:kern w:val="2"/>
          <w:sz w:val="32"/>
          <w:szCs w:val="32"/>
        </w:rPr>
        <w:t>零星报销业务全城通办项目合同</w:t>
      </w:r>
    </w:p>
    <w:p w14:paraId="60102652">
      <w:pPr>
        <w:spacing w:line="520" w:lineRule="exact"/>
        <w:rPr>
          <w:rFonts w:ascii="楷体" w:hAnsi="楷体" w:eastAsia="楷体" w:cs="楷体"/>
          <w:u w:val="single"/>
        </w:rPr>
      </w:pPr>
    </w:p>
    <w:p w14:paraId="0D7DD33A">
      <w:pPr>
        <w:spacing w:line="520" w:lineRule="exact"/>
        <w:rPr>
          <w:rFonts w:ascii="楷体" w:hAnsi="楷体" w:eastAsia="楷体" w:cs="楷体"/>
          <w:b/>
          <w:kern w:val="2"/>
        </w:rPr>
      </w:pPr>
      <w:r>
        <w:rPr>
          <w:rFonts w:hint="eastAsia" w:ascii="楷体" w:hAnsi="楷体" w:eastAsia="楷体" w:cs="楷体"/>
          <w:b/>
          <w:kern w:val="2"/>
        </w:rPr>
        <w:t>委托方(甲方):</w:t>
      </w:r>
    </w:p>
    <w:p w14:paraId="61C59497">
      <w:pPr>
        <w:spacing w:line="520" w:lineRule="exact"/>
        <w:rPr>
          <w:rFonts w:ascii="楷体" w:hAnsi="楷体" w:eastAsia="楷体" w:cs="楷体"/>
          <w:b/>
          <w:kern w:val="2"/>
        </w:rPr>
      </w:pPr>
      <w:bookmarkStart w:id="0" w:name="_Hlk510962461"/>
      <w:r>
        <w:rPr>
          <w:rFonts w:hint="eastAsia" w:ascii="楷体" w:hAnsi="楷体" w:eastAsia="楷体" w:cs="楷体"/>
          <w:b/>
          <w:kern w:val="2"/>
        </w:rPr>
        <w:t xml:space="preserve">法定代表人： </w:t>
      </w:r>
    </w:p>
    <w:p w14:paraId="404D1838">
      <w:pPr>
        <w:spacing w:line="520" w:lineRule="exact"/>
        <w:rPr>
          <w:rFonts w:ascii="楷体" w:hAnsi="楷体" w:eastAsia="楷体" w:cs="楷体"/>
          <w:b/>
          <w:kern w:val="2"/>
        </w:rPr>
      </w:pPr>
      <w:r>
        <w:rPr>
          <w:rFonts w:hint="eastAsia" w:ascii="楷体" w:hAnsi="楷体" w:eastAsia="楷体" w:cs="楷体"/>
          <w:b/>
          <w:kern w:val="2"/>
        </w:rPr>
        <w:t xml:space="preserve">地 址： </w:t>
      </w:r>
    </w:p>
    <w:p w14:paraId="356A5314">
      <w:pPr>
        <w:spacing w:line="520" w:lineRule="exact"/>
        <w:rPr>
          <w:rFonts w:ascii="楷体" w:hAnsi="楷体" w:eastAsia="楷体" w:cs="楷体"/>
          <w:b/>
          <w:kern w:val="2"/>
        </w:rPr>
      </w:pPr>
      <w:r>
        <w:rPr>
          <w:rFonts w:hint="eastAsia" w:ascii="楷体" w:hAnsi="楷体" w:eastAsia="楷体" w:cs="楷体"/>
          <w:b/>
          <w:kern w:val="2"/>
        </w:rPr>
        <w:t xml:space="preserve">联系电话： </w:t>
      </w:r>
    </w:p>
    <w:p w14:paraId="2F0D1C3F">
      <w:pPr>
        <w:spacing w:line="520" w:lineRule="exact"/>
        <w:rPr>
          <w:rFonts w:ascii="楷体" w:hAnsi="楷体" w:eastAsia="楷体" w:cs="楷体"/>
          <w:b/>
          <w:kern w:val="2"/>
        </w:rPr>
      </w:pPr>
      <w:r>
        <w:rPr>
          <w:rFonts w:hint="eastAsia" w:ascii="楷体" w:hAnsi="楷体" w:eastAsia="楷体" w:cs="楷体"/>
          <w:b/>
          <w:kern w:val="2"/>
        </w:rPr>
        <w:t xml:space="preserve">统一社会信用代码： </w:t>
      </w:r>
    </w:p>
    <w:bookmarkEnd w:id="0"/>
    <w:p w14:paraId="68985F45">
      <w:pPr>
        <w:spacing w:line="520" w:lineRule="exact"/>
        <w:rPr>
          <w:rFonts w:ascii="楷体" w:hAnsi="楷体" w:eastAsia="楷体" w:cs="楷体"/>
          <w:b/>
          <w:kern w:val="2"/>
        </w:rPr>
      </w:pPr>
    </w:p>
    <w:p w14:paraId="38D1518C">
      <w:pPr>
        <w:spacing w:line="520" w:lineRule="exact"/>
        <w:rPr>
          <w:rFonts w:ascii="楷体" w:hAnsi="楷体" w:eastAsia="楷体" w:cs="楷体"/>
          <w:b/>
          <w:kern w:val="2"/>
        </w:rPr>
      </w:pPr>
      <w:r>
        <w:rPr>
          <w:rFonts w:hint="eastAsia" w:ascii="楷体" w:hAnsi="楷体" w:eastAsia="楷体" w:cs="楷体"/>
          <w:b/>
          <w:kern w:val="2"/>
        </w:rPr>
        <w:t xml:space="preserve">受托方(乙方):  </w:t>
      </w:r>
    </w:p>
    <w:p w14:paraId="6C5E0C91">
      <w:pPr>
        <w:tabs>
          <w:tab w:val="left" w:pos="2832"/>
          <w:tab w:val="left" w:pos="4391"/>
          <w:tab w:val="left" w:pos="4811"/>
          <w:tab w:val="left" w:pos="4931"/>
          <w:tab w:val="left" w:pos="5712"/>
          <w:tab w:val="left" w:pos="7032"/>
          <w:tab w:val="left" w:pos="8471"/>
          <w:tab w:val="left" w:pos="9131"/>
          <w:tab w:val="left" w:pos="9251"/>
        </w:tabs>
        <w:kinsoku w:val="0"/>
        <w:overflowPunct w:val="0"/>
        <w:autoSpaceDE w:val="0"/>
        <w:adjustRightInd w:val="0"/>
        <w:spacing w:line="520" w:lineRule="exact"/>
        <w:jc w:val="left"/>
        <w:rPr>
          <w:rFonts w:ascii="楷体" w:hAnsi="楷体" w:eastAsia="楷体" w:cs="楷体"/>
          <w:b/>
          <w:kern w:val="2"/>
        </w:rPr>
      </w:pPr>
      <w:r>
        <w:rPr>
          <w:rFonts w:hint="eastAsia" w:ascii="楷体" w:hAnsi="楷体" w:eastAsia="楷体" w:cs="楷体"/>
          <w:b/>
          <w:kern w:val="2"/>
        </w:rPr>
        <w:t xml:space="preserve">法定代表人： </w:t>
      </w:r>
    </w:p>
    <w:p w14:paraId="22BE6D91">
      <w:pPr>
        <w:tabs>
          <w:tab w:val="left" w:pos="2832"/>
          <w:tab w:val="left" w:pos="4391"/>
          <w:tab w:val="left" w:pos="4811"/>
          <w:tab w:val="left" w:pos="4931"/>
          <w:tab w:val="left" w:pos="5712"/>
          <w:tab w:val="left" w:pos="7032"/>
          <w:tab w:val="left" w:pos="8471"/>
          <w:tab w:val="left" w:pos="9131"/>
          <w:tab w:val="left" w:pos="9251"/>
        </w:tabs>
        <w:kinsoku w:val="0"/>
        <w:overflowPunct w:val="0"/>
        <w:autoSpaceDE w:val="0"/>
        <w:adjustRightInd w:val="0"/>
        <w:spacing w:line="520" w:lineRule="exact"/>
        <w:jc w:val="left"/>
        <w:rPr>
          <w:rFonts w:ascii="楷体" w:hAnsi="楷体" w:eastAsia="楷体" w:cs="楷体"/>
          <w:b/>
          <w:kern w:val="2"/>
        </w:rPr>
      </w:pPr>
      <w:r>
        <w:rPr>
          <w:rFonts w:hint="eastAsia" w:ascii="楷体" w:hAnsi="楷体" w:eastAsia="楷体" w:cs="楷体"/>
          <w:b/>
          <w:kern w:val="2"/>
        </w:rPr>
        <w:t xml:space="preserve">地 址： </w:t>
      </w:r>
    </w:p>
    <w:p w14:paraId="410481EC">
      <w:pPr>
        <w:tabs>
          <w:tab w:val="left" w:pos="2832"/>
          <w:tab w:val="left" w:pos="4391"/>
          <w:tab w:val="left" w:pos="4811"/>
          <w:tab w:val="left" w:pos="4931"/>
          <w:tab w:val="left" w:pos="5712"/>
          <w:tab w:val="left" w:pos="7032"/>
          <w:tab w:val="left" w:pos="8471"/>
          <w:tab w:val="left" w:pos="9131"/>
          <w:tab w:val="left" w:pos="9251"/>
        </w:tabs>
        <w:kinsoku w:val="0"/>
        <w:overflowPunct w:val="0"/>
        <w:autoSpaceDE w:val="0"/>
        <w:adjustRightInd w:val="0"/>
        <w:spacing w:line="520" w:lineRule="exact"/>
        <w:jc w:val="left"/>
        <w:rPr>
          <w:rFonts w:ascii="楷体" w:hAnsi="楷体" w:eastAsia="楷体" w:cs="楷体"/>
          <w:b/>
          <w:kern w:val="2"/>
        </w:rPr>
      </w:pPr>
      <w:r>
        <w:rPr>
          <w:rFonts w:hint="eastAsia" w:ascii="楷体" w:hAnsi="楷体" w:eastAsia="楷体" w:cs="楷体"/>
          <w:b/>
          <w:kern w:val="2"/>
        </w:rPr>
        <w:t xml:space="preserve">联系电话： </w:t>
      </w:r>
    </w:p>
    <w:p w14:paraId="79AF17D2">
      <w:pPr>
        <w:tabs>
          <w:tab w:val="left" w:pos="2832"/>
          <w:tab w:val="left" w:pos="4391"/>
          <w:tab w:val="left" w:pos="4811"/>
          <w:tab w:val="left" w:pos="4931"/>
          <w:tab w:val="left" w:pos="5712"/>
          <w:tab w:val="left" w:pos="7032"/>
          <w:tab w:val="left" w:pos="8471"/>
          <w:tab w:val="left" w:pos="9131"/>
          <w:tab w:val="left" w:pos="9251"/>
        </w:tabs>
        <w:kinsoku w:val="0"/>
        <w:overflowPunct w:val="0"/>
        <w:autoSpaceDE w:val="0"/>
        <w:adjustRightInd w:val="0"/>
        <w:spacing w:line="520" w:lineRule="exact"/>
        <w:jc w:val="left"/>
        <w:rPr>
          <w:rFonts w:ascii="楷体" w:hAnsi="楷体" w:eastAsia="楷体" w:cs="楷体"/>
          <w:b/>
          <w:kern w:val="2"/>
        </w:rPr>
      </w:pPr>
      <w:r>
        <w:rPr>
          <w:rFonts w:hint="eastAsia" w:ascii="楷体" w:hAnsi="楷体" w:eastAsia="楷体" w:cs="楷体"/>
          <w:b/>
          <w:kern w:val="2"/>
        </w:rPr>
        <w:t xml:space="preserve">统一社会信用代码： </w:t>
      </w:r>
    </w:p>
    <w:p w14:paraId="6D5DCF99">
      <w:pPr>
        <w:pStyle w:val="4"/>
        <w:spacing w:line="520" w:lineRule="exact"/>
        <w:rPr>
          <w:b/>
          <w:sz w:val="28"/>
          <w:szCs w:val="28"/>
        </w:rPr>
      </w:pPr>
    </w:p>
    <w:p w14:paraId="5310C7F0">
      <w:pPr>
        <w:pStyle w:val="4"/>
        <w:spacing w:line="520" w:lineRule="exact"/>
        <w:ind w:firstLine="549"/>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甲方拟委托乙方为其进行零星报销业务全城通办项目中涉及相关系统升级的技术服务，双方根据《中华人民共和国政府采购法》和《中华人民共和国民法典》及其他相关法律的有关规定实施本次采购。为明确各自的权益和责任，经双方在平等、互利的基础上充分协商，一致同意就以下条款订立本合同，并共同信守执行。</w:t>
      </w:r>
      <w:r>
        <w:rPr>
          <w:rFonts w:hint="eastAsia" w:asciiTheme="minorEastAsia" w:hAnsiTheme="minorEastAsia" w:eastAsiaTheme="minorEastAsia" w:cstheme="minorEastAsia"/>
          <w:sz w:val="28"/>
        </w:rPr>
        <w:tab/>
      </w:r>
    </w:p>
    <w:p w14:paraId="32DA6494">
      <w:pPr>
        <w:pStyle w:val="3"/>
        <w:numPr>
          <w:ilvl w:val="0"/>
          <w:numId w:val="0"/>
        </w:numPr>
        <w:snapToGrid w:val="0"/>
        <w:spacing w:before="0" w:after="0" w:line="520" w:lineRule="exact"/>
        <w:ind w:firstLine="562"/>
        <w:rPr>
          <w:rFonts w:asciiTheme="minorEastAsia" w:hAnsiTheme="minorEastAsia" w:eastAsiaTheme="minorEastAsia" w:cstheme="minorEastAsia"/>
          <w:bCs w:val="0"/>
          <w:sz w:val="28"/>
          <w:szCs w:val="24"/>
        </w:rPr>
      </w:pPr>
    </w:p>
    <w:p w14:paraId="36A54999">
      <w:pPr>
        <w:pStyle w:val="3"/>
        <w:numPr>
          <w:ilvl w:val="0"/>
          <w:numId w:val="0"/>
        </w:numPr>
        <w:snapToGrid w:val="0"/>
        <w:spacing w:before="0" w:after="0" w:line="520" w:lineRule="exact"/>
        <w:ind w:firstLine="562"/>
        <w:rPr>
          <w:rFonts w:asciiTheme="minorEastAsia" w:hAnsiTheme="minorEastAsia" w:eastAsiaTheme="minorEastAsia" w:cstheme="minorEastAsia"/>
          <w:sz w:val="28"/>
        </w:rPr>
      </w:pPr>
      <w:r>
        <w:rPr>
          <w:rFonts w:hint="eastAsia" w:asciiTheme="minorEastAsia" w:hAnsiTheme="minorEastAsia" w:eastAsiaTheme="minorEastAsia" w:cstheme="minorEastAsia"/>
          <w:sz w:val="28"/>
          <w:szCs w:val="28"/>
        </w:rPr>
        <w:t>一、服务内容及要求</w:t>
      </w:r>
    </w:p>
    <w:p w14:paraId="1CC3987F">
      <w:pPr>
        <w:pStyle w:val="37"/>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1、基于甲方业务需求，完成对现有OCR系统目录对照功能完善、报销审核流程优化等相关内容的升级。</w:t>
      </w:r>
    </w:p>
    <w:p w14:paraId="051BA3B8">
      <w:pPr>
        <w:pStyle w:val="37"/>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目录对照功能完善，主要是根据限价政策对集采药进行自动对照，计算超限价部分，标记特药项目并支持手动切换甲类目录。针对陕西未维护项目，系统自动对照到丙类目录，并支持查看电子档案和费用合计。</w:t>
      </w:r>
    </w:p>
    <w:p w14:paraId="19ED64C2">
      <w:pPr>
        <w:pStyle w:val="37"/>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报销审核流程优化，主要是新增患者信息录入功能，提升复审人工分配功能，确保审核流程精准高效。支持逐级回退功能，按项目类别计算审核金额，特别是针对耗材、超限价等项目，生成各单据费用情况，并自动分配原审核人员进行复审。</w:t>
      </w:r>
    </w:p>
    <w:p w14:paraId="67FFB41C">
      <w:pPr>
        <w:pStyle w:val="37"/>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合同签订后两个月内完成需求调研、开发测试、部署上线等工作。在部署上线后进行必要的跟踪指导，保障系统的稳定运行。部署上线后为甲方业务人员免费提供操作培训，培训以受培训人员熟练掌握相应技能为原则。及时向甲方交付需求报告、测试报告、操作手册等文档。</w:t>
      </w:r>
    </w:p>
    <w:p w14:paraId="1A1149C1">
      <w:pPr>
        <w:pStyle w:val="4"/>
        <w:spacing w:line="520" w:lineRule="exact"/>
        <w:ind w:firstLine="560"/>
        <w:rPr>
          <w:rFonts w:asciiTheme="minorEastAsia" w:hAnsiTheme="minorEastAsia" w:eastAsiaTheme="minorEastAsia" w:cstheme="minorEastAsia"/>
          <w:sz w:val="28"/>
          <w:szCs w:val="20"/>
        </w:rPr>
      </w:pPr>
      <w:r>
        <w:rPr>
          <w:rFonts w:hint="eastAsia" w:asciiTheme="minorEastAsia" w:hAnsiTheme="minorEastAsia" w:eastAsiaTheme="minorEastAsia" w:cstheme="minorEastAsia"/>
          <w:sz w:val="28"/>
          <w:szCs w:val="20"/>
        </w:rPr>
        <w:t>3、系统运行故障时，乙方应提供7×24小时电话技术支持，电话支持无法解决的问题必须按照故障响应速度要求提供现场技术支持；需提供现场支持的，乙方应保证4小时内到达用户现场，保证到达现场后24小时内解决故障。</w:t>
      </w:r>
    </w:p>
    <w:p w14:paraId="5BB3E03F">
      <w:pPr>
        <w:pStyle w:val="4"/>
        <w:spacing w:line="520" w:lineRule="exact"/>
        <w:ind w:firstLine="560"/>
        <w:rPr>
          <w:rFonts w:asciiTheme="minorEastAsia" w:hAnsiTheme="minorEastAsia" w:eastAsiaTheme="minorEastAsia" w:cstheme="minorEastAsia"/>
          <w:sz w:val="28"/>
          <w:szCs w:val="20"/>
        </w:rPr>
      </w:pPr>
    </w:p>
    <w:p w14:paraId="5F5BA016">
      <w:pPr>
        <w:pStyle w:val="4"/>
        <w:spacing w:line="520" w:lineRule="exact"/>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二、验收方式和标准</w:t>
      </w:r>
    </w:p>
    <w:p w14:paraId="586163E2">
      <w:pPr>
        <w:pStyle w:val="4"/>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乙方完成部署上线，试运行六个月向甲方提交验收申请及交付成果（</w:t>
      </w:r>
      <w:r>
        <w:rPr>
          <w:rFonts w:ascii="Segoe UI" w:hAnsi="Segoe UI" w:cs="Segoe UI"/>
          <w:sz w:val="27"/>
          <w:szCs w:val="27"/>
          <w:shd w:val="clear" w:color="auto" w:fill="FFFFFF"/>
        </w:rPr>
        <w:t>已完整交付需求报告、测试报告、操作手册、数据安全保障方案、系统应急预案等全部配套文档，且文档经甲方审核无异议</w:t>
      </w:r>
      <w:r>
        <w:rPr>
          <w:rFonts w:hint="eastAsia" w:asciiTheme="minorEastAsia" w:hAnsiTheme="minorEastAsia" w:eastAsiaTheme="minorEastAsia" w:cstheme="minorEastAsia"/>
          <w:sz w:val="28"/>
          <w:szCs w:val="28"/>
        </w:rPr>
        <w:t>），甲方组织人员进行验收，出具验收报告单，合格则双方签字确认，不合格则列明问题，乙方整改后重新提交验收。</w:t>
      </w:r>
    </w:p>
    <w:p w14:paraId="6001E2C7">
      <w:pPr>
        <w:pStyle w:val="4"/>
        <w:spacing w:line="520" w:lineRule="exact"/>
        <w:ind w:firstLine="560" w:firstLineChars="200"/>
        <w:rPr>
          <w:rFonts w:asciiTheme="minorEastAsia" w:hAnsiTheme="minorEastAsia" w:eastAsiaTheme="minorEastAsia" w:cstheme="minorEastAsia"/>
          <w:color w:val="auto"/>
          <w:kern w:val="0"/>
          <w:sz w:val="28"/>
          <w:szCs w:val="28"/>
        </w:rPr>
      </w:pPr>
      <w:r>
        <w:rPr>
          <w:rFonts w:hint="eastAsia" w:asciiTheme="minorEastAsia" w:hAnsiTheme="minorEastAsia" w:eastAsiaTheme="minorEastAsia" w:cstheme="minorEastAsia"/>
          <w:sz w:val="28"/>
          <w:szCs w:val="28"/>
        </w:rPr>
        <w:t>（一）</w:t>
      </w:r>
      <w:r>
        <w:rPr>
          <w:rFonts w:asciiTheme="minorEastAsia" w:hAnsiTheme="minorEastAsia" w:eastAsiaTheme="minorEastAsia" w:cstheme="minorEastAsia"/>
          <w:b/>
          <w:bCs/>
          <w:color w:val="auto"/>
          <w:kern w:val="0"/>
          <w:sz w:val="28"/>
          <w:szCs w:val="28"/>
        </w:rPr>
        <w:t>验收组织与参与主体</w:t>
      </w:r>
    </w:p>
    <w:p w14:paraId="71C165EF">
      <w:pPr>
        <w:pStyle w:val="4"/>
        <w:spacing w:line="520" w:lineRule="exact"/>
        <w:ind w:firstLine="560" w:firstLineChars="200"/>
        <w:rPr>
          <w:rFonts w:asciiTheme="minorEastAsia" w:hAnsiTheme="minorEastAsia" w:eastAsiaTheme="minorEastAsia" w:cstheme="minorEastAsia"/>
          <w:sz w:val="28"/>
          <w:szCs w:val="28"/>
        </w:rPr>
      </w:pPr>
      <w:r>
        <w:rPr>
          <w:rFonts w:asciiTheme="minorEastAsia" w:hAnsiTheme="minorEastAsia" w:eastAsiaTheme="minorEastAsia" w:cstheme="minorEastAsia"/>
          <w:color w:val="auto"/>
          <w:kern w:val="3"/>
          <w:sz w:val="28"/>
          <w:szCs w:val="28"/>
        </w:rPr>
        <w:t>验收工作由甲方牵头组织，可邀请医保业务骨干、信息技术专家、第三方专业测评机构（若有必要）共同参与，乙方需指派项目核心技术人员及业务对接人员配合验收，确保验收结果客观、专业、贴合业务实际。</w:t>
      </w:r>
    </w:p>
    <w:p w14:paraId="3849F197">
      <w:pPr>
        <w:pStyle w:val="4"/>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（二）验收标准</w:t>
      </w:r>
    </w:p>
    <w:p w14:paraId="4C8588C2">
      <w:pPr>
        <w:pStyle w:val="4"/>
        <w:spacing w:line="52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验收标准以本合同前述“服务内容及要求”为核心，满足以下条件视为验收合格。</w:t>
      </w:r>
    </w:p>
    <w:p w14:paraId="1F16D438">
      <w:pPr>
        <w:pStyle w:val="4"/>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1、所有约定的系统功能正常实现，无功能缺失或异常,且须达到以下标准；</w:t>
      </w:r>
    </w:p>
    <w:p w14:paraId="47E3345D">
      <w:pPr>
        <w:pStyle w:val="4"/>
        <w:spacing w:line="520" w:lineRule="exact"/>
        <w:ind w:firstLine="562" w:firstLineChars="200"/>
        <w:rPr>
          <w:rFonts w:asciiTheme="minorEastAsia" w:hAnsiTheme="minorEastAsia" w:eastAsiaTheme="minorEastAsia" w:cstheme="minorEastAsia"/>
          <w:kern w:val="0"/>
          <w:sz w:val="28"/>
          <w:szCs w:val="28"/>
        </w:rPr>
      </w:pPr>
      <w:r>
        <w:rPr>
          <w:rFonts w:asciiTheme="minorEastAsia" w:hAnsiTheme="minorEastAsia" w:eastAsiaTheme="minorEastAsia" w:cstheme="minorEastAsia"/>
          <w:b/>
          <w:bCs/>
          <w:kern w:val="0"/>
          <w:sz w:val="28"/>
          <w:szCs w:val="28"/>
        </w:rPr>
        <w:t>数据准确性：OCR 系统目录对照功能对集采药限价计算、特药标记、丙类目录匹配的准确率需达到 100%；报销审核流程中费用核算结果与人工复核结果的一致性需达到 100%，超限价、耗材等特殊项目的金额拆分无差错；</w:t>
      </w:r>
    </w:p>
    <w:p w14:paraId="7B3F1E94">
      <w:pPr>
        <w:pStyle w:val="4"/>
        <w:spacing w:line="520" w:lineRule="exact"/>
        <w:ind w:firstLine="562" w:firstLineChars="200"/>
        <w:rPr>
          <w:rFonts w:asciiTheme="minorEastAsia" w:hAnsiTheme="minorEastAsia" w:eastAsiaTheme="minorEastAsia" w:cstheme="minorEastAsia"/>
          <w:kern w:val="0"/>
          <w:sz w:val="28"/>
          <w:szCs w:val="28"/>
        </w:rPr>
      </w:pPr>
      <w:r>
        <w:rPr>
          <w:rFonts w:asciiTheme="minorEastAsia" w:hAnsiTheme="minorEastAsia" w:eastAsiaTheme="minorEastAsia" w:cstheme="minorEastAsia"/>
          <w:b/>
          <w:bCs/>
          <w:kern w:val="0"/>
          <w:sz w:val="28"/>
          <w:szCs w:val="28"/>
        </w:rPr>
        <w:t>数据安全性：系统需具备完善的数据加密、权限管控功能，通过甲方组织的信息安全等级保护测评（若甲方有对应等级要求），试运行期间无数据泄露、篡改等安全事件；</w:t>
      </w:r>
    </w:p>
    <w:p w14:paraId="03E3939F">
      <w:pPr>
        <w:pStyle w:val="4"/>
        <w:spacing w:line="520" w:lineRule="exact"/>
        <w:ind w:firstLine="560" w:firstLineChars="200"/>
        <w:rPr>
          <w:rFonts w:asciiTheme="minorEastAsia" w:hAnsiTheme="minorEastAsia" w:eastAsiaTheme="minorEastAsia" w:cstheme="minorEastAsia"/>
          <w:sz w:val="28"/>
          <w:szCs w:val="28"/>
        </w:rPr>
      </w:pPr>
      <w:r>
        <w:rPr>
          <w:rFonts w:asciiTheme="minorEastAsia" w:hAnsiTheme="minorEastAsia" w:eastAsiaTheme="minorEastAsia" w:cstheme="minorEastAsia"/>
          <w:sz w:val="28"/>
          <w:szCs w:val="28"/>
          <w:bdr w:val="none" w:color="auto" w:sz="4" w:space="0"/>
        </w:rPr>
        <w:t>业务适配性</w:t>
      </w:r>
      <w:r>
        <w:rPr>
          <w:rFonts w:asciiTheme="minorEastAsia" w:hAnsiTheme="minorEastAsia" w:eastAsiaTheme="minorEastAsia" w:cstheme="minorEastAsia"/>
          <w:sz w:val="28"/>
          <w:szCs w:val="28"/>
        </w:rPr>
        <w:t>：系统需适配西安市医保现行的零星报销政策，支持特殊人群（如异地就医、门诊慢特病患者）的报销审核流程，且与甲方医保信息平台、电子档案系统等现有系统的数据交互无延迟、无差错</w:t>
      </w:r>
      <w:r>
        <w:rPr>
          <w:rFonts w:hint="eastAsia" w:asciiTheme="minorEastAsia" w:hAnsiTheme="minorEastAsia" w:eastAsiaTheme="minorEastAsia" w:cstheme="minorEastAsia"/>
          <w:sz w:val="28"/>
          <w:szCs w:val="28"/>
        </w:rPr>
        <w:t>。</w:t>
      </w:r>
    </w:p>
    <w:p w14:paraId="62AF33A7">
      <w:pPr>
        <w:pStyle w:val="4"/>
        <w:spacing w:line="52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2、兼容性适配符合，可正常对接甲方现有业务系统及硬件设备；</w:t>
      </w:r>
    </w:p>
    <w:p w14:paraId="1B12E713">
      <w:pPr>
        <w:pStyle w:val="4"/>
        <w:spacing w:line="520" w:lineRule="exact"/>
        <w:ind w:firstLine="560" w:firstLineChars="200"/>
        <w:rPr>
          <w:rFonts w:asciiTheme="minorEastAsia" w:hAnsiTheme="minorEastAsia" w:eastAsiaTheme="minorEastAsia" w:cstheme="minorEastAsia"/>
          <w:color w:val="auto"/>
          <w:kern w:val="0"/>
          <w:sz w:val="28"/>
          <w:szCs w:val="28"/>
        </w:rPr>
      </w:pPr>
      <w:r>
        <w:rPr>
          <w:rFonts w:hint="eastAsia" w:asciiTheme="minorEastAsia" w:hAnsiTheme="minorEastAsia" w:eastAsiaTheme="minorEastAsia" w:cstheme="minorEastAsia"/>
          <w:sz w:val="28"/>
          <w:szCs w:val="28"/>
        </w:rPr>
        <w:t>3、交付成果完整，文档清晰，培训后甲方人员可独立操作。（三）</w:t>
      </w:r>
      <w:r>
        <w:rPr>
          <w:rFonts w:asciiTheme="minorEastAsia" w:hAnsiTheme="minorEastAsia" w:eastAsiaTheme="minorEastAsia" w:cstheme="minorEastAsia"/>
          <w:b/>
          <w:bCs/>
          <w:color w:val="auto"/>
          <w:kern w:val="0"/>
          <w:sz w:val="28"/>
          <w:szCs w:val="28"/>
        </w:rPr>
        <w:t>验收整改与复验要求</w:t>
      </w:r>
    </w:p>
    <w:p w14:paraId="63DB830B">
      <w:pPr>
        <w:pStyle w:val="4"/>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asciiTheme="minorEastAsia" w:hAnsiTheme="minorEastAsia" w:eastAsiaTheme="minorEastAsia" w:cstheme="minorEastAsia"/>
          <w:color w:val="auto"/>
          <w:kern w:val="0"/>
          <w:sz w:val="28"/>
          <w:szCs w:val="28"/>
        </w:rPr>
        <w:t>若首次验收不合格，乙方需在甲方列明问题后的 [15] 个工作日内完成整改，整改完成后提交复验申请，甲方应在收到申请后的 [10] 个工作日内组织复验；</w:t>
      </w:r>
    </w:p>
    <w:p w14:paraId="3944F432">
      <w:pPr>
        <w:pStyle w:val="4"/>
        <w:spacing w:line="520" w:lineRule="exact"/>
        <w:ind w:firstLine="560" w:firstLineChars="200"/>
        <w:rPr>
          <w:rFonts w:asciiTheme="minorEastAsia" w:hAnsiTheme="minorEastAsia" w:eastAsiaTheme="minorEastAsia" w:cstheme="minorEastAsia"/>
          <w:color w:val="auto"/>
          <w:kern w:val="0"/>
          <w:sz w:val="28"/>
          <w:szCs w:val="28"/>
        </w:rPr>
      </w:pPr>
      <w:r>
        <w:rPr>
          <w:rFonts w:hint="eastAsia" w:asciiTheme="minorEastAsia" w:hAnsiTheme="minorEastAsia" w:eastAsiaTheme="minorEastAsia" w:cstheme="minorEastAsia"/>
          <w:sz w:val="28"/>
          <w:szCs w:val="28"/>
        </w:rPr>
        <w:t>2、</w:t>
      </w:r>
      <w:r>
        <w:rPr>
          <w:rFonts w:asciiTheme="minorEastAsia" w:hAnsiTheme="minorEastAsia" w:eastAsiaTheme="minorEastAsia" w:cstheme="minorEastAsia"/>
          <w:color w:val="auto"/>
          <w:kern w:val="0"/>
          <w:sz w:val="28"/>
          <w:szCs w:val="28"/>
        </w:rPr>
        <w:t>若复验仍不合格，乙方需免费延长试运行期 [3] 个月，期间需派驻技术人员驻场整改，直至系统满足验收标准；若延长试运行期后仍无法通过验收，甲方有权依据合同违约条款解除合同。</w:t>
      </w:r>
    </w:p>
    <w:p w14:paraId="3D6FA13F">
      <w:pPr>
        <w:pStyle w:val="4"/>
        <w:spacing w:line="520" w:lineRule="exact"/>
        <w:ind w:firstLine="560" w:firstLineChars="200"/>
        <w:rPr>
          <w:rFonts w:asciiTheme="minorEastAsia" w:hAnsiTheme="minorEastAsia" w:eastAsiaTheme="minorEastAsia" w:cstheme="minorEastAsia"/>
          <w:color w:val="auto"/>
          <w:kern w:val="0"/>
          <w:sz w:val="28"/>
          <w:szCs w:val="28"/>
        </w:rPr>
      </w:pPr>
      <w:r>
        <w:rPr>
          <w:rFonts w:hint="eastAsia" w:asciiTheme="minorEastAsia" w:hAnsiTheme="minorEastAsia" w:eastAsiaTheme="minorEastAsia" w:cstheme="minorEastAsia"/>
          <w:sz w:val="28"/>
          <w:szCs w:val="28"/>
        </w:rPr>
        <w:t>（四）</w:t>
      </w:r>
      <w:r>
        <w:rPr>
          <w:rFonts w:asciiTheme="minorEastAsia" w:hAnsiTheme="minorEastAsia" w:eastAsiaTheme="minorEastAsia" w:cstheme="minorEastAsia"/>
          <w:b/>
          <w:bCs/>
          <w:color w:val="auto"/>
          <w:kern w:val="0"/>
          <w:sz w:val="28"/>
          <w:szCs w:val="28"/>
        </w:rPr>
        <w:t>验收结果的确认与效力</w:t>
      </w:r>
    </w:p>
    <w:p w14:paraId="42CAE915">
      <w:pPr>
        <w:pStyle w:val="4"/>
        <w:spacing w:line="520" w:lineRule="exact"/>
        <w:ind w:firstLine="560" w:firstLineChars="200"/>
        <w:rPr>
          <w:rFonts w:asciiTheme="minorEastAsia" w:hAnsiTheme="minorEastAsia" w:eastAsiaTheme="minorEastAsia" w:cstheme="minorEastAsia"/>
          <w:color w:val="auto"/>
          <w:kern w:val="0"/>
          <w:sz w:val="28"/>
          <w:szCs w:val="28"/>
        </w:rPr>
      </w:pPr>
      <w:r>
        <w:rPr>
          <w:rFonts w:asciiTheme="minorEastAsia" w:hAnsiTheme="minorEastAsia" w:eastAsiaTheme="minorEastAsia" w:cstheme="minorEastAsia"/>
          <w:color w:val="auto"/>
          <w:kern w:val="0"/>
          <w:sz w:val="28"/>
          <w:szCs w:val="28"/>
        </w:rPr>
        <w:t>验收合格的，双方需在验收报告单上签字并加盖公章，验收报告单中需明确系统正式投入使用时间及维护期起算时间；验收不合格的，验收报告单需列明具体问题、整改要求及期限，作为乙方后续整改的核心依据，相关整改工作不额外收取甲方费用。</w:t>
      </w:r>
    </w:p>
    <w:p w14:paraId="3B7D9E8D">
      <w:pPr>
        <w:pStyle w:val="4"/>
        <w:spacing w:line="520" w:lineRule="exact"/>
        <w:ind w:firstLine="560" w:firstLineChars="200"/>
        <w:rPr>
          <w:rFonts w:asciiTheme="minorEastAsia" w:hAnsiTheme="minorEastAsia" w:eastAsiaTheme="minorEastAsia" w:cstheme="minorEastAsia"/>
          <w:sz w:val="28"/>
          <w:szCs w:val="28"/>
        </w:rPr>
      </w:pPr>
    </w:p>
    <w:p w14:paraId="5318E173">
      <w:pPr>
        <w:pStyle w:val="4"/>
        <w:spacing w:line="520" w:lineRule="exact"/>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三、费用支付方式</w:t>
      </w:r>
    </w:p>
    <w:p w14:paraId="30E2E49D">
      <w:pPr>
        <w:pStyle w:val="4"/>
        <w:spacing w:line="52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1、合同总额：大写：（¥：元）</w:t>
      </w:r>
    </w:p>
    <w:p w14:paraId="0610DB9A">
      <w:pPr>
        <w:pStyle w:val="4"/>
        <w:spacing w:line="52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此金额为固定总价，包含</w:t>
      </w:r>
      <w:r>
        <w:rPr>
          <w:rFonts w:hint="eastAsia" w:asciiTheme="minorEastAsia" w:hAnsiTheme="minorEastAsia" w:eastAsiaTheme="minorEastAsia" w:cstheme="minorEastAsia"/>
          <w:sz w:val="28"/>
        </w:rPr>
        <w:t>需求调研、开发测试、部署上线、操作</w:t>
      </w:r>
      <w:r>
        <w:rPr>
          <w:rFonts w:hint="eastAsia" w:asciiTheme="minorEastAsia" w:hAnsiTheme="minorEastAsia" w:eastAsiaTheme="minorEastAsia" w:cstheme="minorEastAsia"/>
          <w:sz w:val="28"/>
          <w:szCs w:val="28"/>
        </w:rPr>
        <w:t>培训、售后支持等全部费用，除本合同另有约定外，甲方无需额外支付其他费用。</w:t>
      </w:r>
    </w:p>
    <w:p w14:paraId="274F17D1">
      <w:pPr>
        <w:pStyle w:val="4"/>
        <w:spacing w:line="52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2、支付方式：合同签订后，首次支付合同总价款的40%(¥：元)，部署上线后支付合同总价款的40%（(¥：元），经甲方验收合格，一个月内支付剩余价款。</w:t>
      </w:r>
    </w:p>
    <w:p w14:paraId="62E8EF16">
      <w:pPr>
        <w:pStyle w:val="4"/>
        <w:spacing w:line="520" w:lineRule="exact"/>
        <w:ind w:firstLine="560" w:firstLineChars="2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3、支付要求：乙方应在付款前按照合同约定金额开具合法有效发票给甲方，甲方审核无误后支付。</w:t>
      </w:r>
    </w:p>
    <w:p w14:paraId="578BA0F7">
      <w:pPr>
        <w:pStyle w:val="4"/>
        <w:spacing w:line="520" w:lineRule="exact"/>
        <w:ind w:firstLine="56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乙方开户银行名称、地址及账号：</w:t>
      </w:r>
    </w:p>
    <w:p w14:paraId="48770F83">
      <w:pPr>
        <w:pStyle w:val="4"/>
        <w:spacing w:line="520" w:lineRule="exact"/>
        <w:ind w:firstLine="560"/>
        <w:rPr>
          <w:rFonts w:asciiTheme="minorEastAsia" w:hAnsiTheme="minorEastAsia" w:eastAsiaTheme="minorEastAsia" w:cstheme="minorEastAsia"/>
        </w:rPr>
      </w:pPr>
      <w:r>
        <w:rPr>
          <w:rFonts w:hint="eastAsia" w:asciiTheme="minorEastAsia" w:hAnsiTheme="minorEastAsia" w:eastAsiaTheme="minorEastAsia" w:cstheme="minorEastAsia"/>
          <w:sz w:val="28"/>
          <w:szCs w:val="28"/>
        </w:rPr>
        <w:t>开户银行</w:t>
      </w:r>
      <w:r>
        <w:rPr>
          <w:rFonts w:hint="eastAsia" w:asciiTheme="minorEastAsia" w:hAnsiTheme="minorEastAsia" w:eastAsiaTheme="minorEastAsia" w:cstheme="minorEastAsia"/>
          <w:sz w:val="28"/>
          <w:szCs w:val="28"/>
          <w:u w:val="single"/>
        </w:rPr>
        <w:t>：</w:t>
      </w:r>
      <w:r>
        <w:rPr>
          <w:rFonts w:hint="eastAsia" w:asciiTheme="minorEastAsia" w:hAnsiTheme="minorEastAsia" w:eastAsiaTheme="minorEastAsia" w:cstheme="minorEastAsia"/>
          <w:sz w:val="28"/>
          <w:szCs w:val="28"/>
          <w:u w:val="single"/>
          <w:lang w:val="en-US" w:eastAsia="zh-CN"/>
        </w:rPr>
        <w:t xml:space="preserve">                    </w:t>
      </w:r>
    </w:p>
    <w:p w14:paraId="1BF732EF">
      <w:pPr>
        <w:pStyle w:val="4"/>
        <w:spacing w:line="520" w:lineRule="exact"/>
        <w:ind w:firstLine="560"/>
        <w:rPr>
          <w:rFonts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t>开户名称：</w:t>
      </w:r>
    </w:p>
    <w:p w14:paraId="7DC92C8A">
      <w:pPr>
        <w:pStyle w:val="4"/>
        <w:spacing w:line="520" w:lineRule="exact"/>
        <w:ind w:firstLine="560"/>
        <w:rPr>
          <w:rFonts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u w:val="single"/>
        </w:rPr>
        <w:t xml:space="preserve">账号： </w:t>
      </w:r>
    </w:p>
    <w:p w14:paraId="56F8D1FD">
      <w:pPr>
        <w:pStyle w:val="4"/>
        <w:spacing w:line="520" w:lineRule="exact"/>
        <w:ind w:firstLine="560"/>
        <w:rPr>
          <w:rFonts w:asciiTheme="minorEastAsia" w:hAnsiTheme="minorEastAsia" w:eastAsiaTheme="minorEastAsia" w:cstheme="minorEastAsia"/>
          <w:sz w:val="28"/>
        </w:rPr>
      </w:pPr>
    </w:p>
    <w:p w14:paraId="33DAFAA5">
      <w:pPr>
        <w:pStyle w:val="4"/>
        <w:spacing w:line="520" w:lineRule="exact"/>
        <w:ind w:firstLine="562" w:firstLineChars="20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四、甲方权利与义务</w:t>
      </w:r>
    </w:p>
    <w:p w14:paraId="6AEB9DD4">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1、及时配合乙方开展需求调研、功能测试、操作培训等工作；</w:t>
      </w:r>
    </w:p>
    <w:p w14:paraId="15DBE3E5">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2、及时审核乙方提交的建设方案、需求报告、测试报告等文档，反馈相关意见；</w:t>
      </w:r>
    </w:p>
    <w:p w14:paraId="6DBB3CFE">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3、按合同约定支付费用，及时完成验收工作，享有系统的使用权；</w:t>
      </w:r>
    </w:p>
    <w:p w14:paraId="051F22C7">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4、如需调整需求，需书面通知乙方，双方协商确认变更范围、相关费用、调整周期及调整方案；</w:t>
      </w:r>
    </w:p>
    <w:p w14:paraId="79F8A46C">
      <w:pPr>
        <w:pStyle w:val="4"/>
        <w:spacing w:line="520" w:lineRule="exact"/>
        <w:ind w:firstLine="551"/>
        <w:rPr>
          <w:rFonts w:asciiTheme="minorEastAsia" w:hAnsiTheme="minorEastAsia" w:eastAsiaTheme="minorEastAsia" w:cstheme="minorEastAsia"/>
          <w:b/>
          <w:sz w:val="28"/>
        </w:rPr>
      </w:pPr>
    </w:p>
    <w:p w14:paraId="25E704FC">
      <w:pPr>
        <w:pStyle w:val="4"/>
        <w:spacing w:line="520" w:lineRule="exact"/>
        <w:ind w:firstLine="551"/>
        <w:rPr>
          <w:rFonts w:asciiTheme="minorEastAsia" w:hAnsiTheme="minorEastAsia" w:eastAsiaTheme="minorEastAsia" w:cstheme="minorEastAsia"/>
          <w:b/>
          <w:sz w:val="28"/>
        </w:rPr>
      </w:pPr>
      <w:r>
        <w:rPr>
          <w:rFonts w:hint="eastAsia" w:asciiTheme="minorEastAsia" w:hAnsiTheme="minorEastAsia" w:eastAsiaTheme="minorEastAsia" w:cstheme="minorEastAsia"/>
          <w:b/>
          <w:sz w:val="28"/>
        </w:rPr>
        <w:t>五、乙方权利与义务</w:t>
      </w:r>
      <w:r>
        <w:rPr>
          <w:rFonts w:hint="eastAsia" w:asciiTheme="minorEastAsia" w:hAnsiTheme="minorEastAsia" w:eastAsiaTheme="minorEastAsia" w:cstheme="minorEastAsia"/>
          <w:b/>
          <w:sz w:val="28"/>
        </w:rPr>
        <w:tab/>
      </w:r>
    </w:p>
    <w:p w14:paraId="296BE90D">
      <w:pPr>
        <w:pStyle w:val="4"/>
        <w:spacing w:line="520" w:lineRule="exact"/>
        <w:ind w:firstLine="521"/>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1、按合同约定及甲方需求完成系统开发升级，确保系统功能、性能达标，交付成果完整有效；</w:t>
      </w:r>
    </w:p>
    <w:p w14:paraId="5217071C">
      <w:pPr>
        <w:pStyle w:val="4"/>
        <w:spacing w:line="520" w:lineRule="exact"/>
        <w:ind w:firstLine="521"/>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2、开发过程中及时向甲方同步进度（每周至少一次进度反馈），遇到问题主动沟通解决；</w:t>
      </w:r>
    </w:p>
    <w:p w14:paraId="4A1F6848">
      <w:pPr>
        <w:pStyle w:val="4"/>
        <w:spacing w:line="520" w:lineRule="exact"/>
        <w:ind w:firstLine="521"/>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3、部署上线后提供培训服务，确保甲方人员熟练掌握相关操作及技能；</w:t>
      </w:r>
    </w:p>
    <w:p w14:paraId="658558F4">
      <w:pPr>
        <w:pStyle w:val="4"/>
        <w:spacing w:line="520" w:lineRule="exact"/>
        <w:ind w:firstLine="521"/>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4、承担售后维护责任，维护期为验收通过后12个月，维护期内提供7×24小时技术支持，故障响应时间≤1小时，一般故障修复时间≤4小时，重大故障修复时间≤24小时；维护期外，乙方提供终身技术支持，费用另行协商。</w:t>
      </w:r>
    </w:p>
    <w:p w14:paraId="4363AF1A">
      <w:pPr>
        <w:pStyle w:val="16"/>
        <w:spacing w:line="520" w:lineRule="exact"/>
        <w:ind w:firstLine="540"/>
        <w:rPr>
          <w:rFonts w:asciiTheme="minorEastAsia" w:hAnsiTheme="minorEastAsia" w:eastAsiaTheme="minorEastAsia" w:cstheme="minorEastAsia"/>
          <w:b/>
          <w:sz w:val="28"/>
          <w:szCs w:val="28"/>
        </w:rPr>
      </w:pPr>
    </w:p>
    <w:p w14:paraId="063660A9">
      <w:pPr>
        <w:pStyle w:val="4"/>
        <w:spacing w:line="520" w:lineRule="exact"/>
        <w:ind w:firstLine="56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 xml:space="preserve">六、知识产权 </w:t>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p>
    <w:p w14:paraId="31D5FA85">
      <w:pPr>
        <w:pStyle w:val="23"/>
        <w:tabs>
          <w:tab w:val="left" w:pos="1001"/>
          <w:tab w:val="left" w:pos="2079"/>
        </w:tabs>
        <w:autoSpaceDE w:val="0"/>
        <w:spacing w:before="0" w:beforeAutospacing="0" w:after="0" w:afterAutospacing="0" w:line="520" w:lineRule="exact"/>
        <w:ind w:firstLine="640"/>
        <w:contextualSpacing/>
        <w:rPr>
          <w:rFonts w:asciiTheme="minorEastAsia" w:hAnsiTheme="minorEastAsia" w:eastAsiaTheme="minorEastAsia" w:cstheme="minorEastAsia"/>
          <w:kern w:val="3"/>
          <w:sz w:val="28"/>
        </w:rPr>
      </w:pPr>
      <w:r>
        <w:rPr>
          <w:rFonts w:hint="eastAsia" w:asciiTheme="minorEastAsia" w:hAnsiTheme="minorEastAsia" w:eastAsiaTheme="minorEastAsia" w:cstheme="minorEastAsia"/>
          <w:kern w:val="3"/>
          <w:sz w:val="28"/>
        </w:rPr>
        <w:t>1、软件维护与技术支持服务过程中所产生的所有文件、资料等的知识产权均归甲方所有。未经甲方书面许可，乙方不得用于本项目以外的其他用途。因乙方原因造成甲方知识产权遭受侵害的，由乙方负责赔偿。</w:t>
      </w:r>
    </w:p>
    <w:p w14:paraId="6059A036">
      <w:pPr>
        <w:pStyle w:val="23"/>
        <w:tabs>
          <w:tab w:val="left" w:pos="1060"/>
        </w:tabs>
        <w:autoSpaceDE w:val="0"/>
        <w:spacing w:before="0" w:beforeAutospacing="0" w:after="0" w:afterAutospacing="0" w:line="520" w:lineRule="exact"/>
        <w:ind w:firstLine="640"/>
        <w:contextualSpacing/>
        <w:rPr>
          <w:rFonts w:asciiTheme="minorEastAsia" w:hAnsiTheme="minorEastAsia" w:eastAsiaTheme="minorEastAsia" w:cstheme="minorEastAsia"/>
          <w:kern w:val="3"/>
          <w:sz w:val="28"/>
        </w:rPr>
      </w:pPr>
      <w:r>
        <w:rPr>
          <w:rFonts w:hint="eastAsia" w:asciiTheme="minorEastAsia" w:hAnsiTheme="minorEastAsia" w:eastAsiaTheme="minorEastAsia" w:cstheme="minorEastAsia"/>
          <w:kern w:val="3"/>
          <w:sz w:val="28"/>
        </w:rPr>
        <w:t>2、乙方保证甲方在接受乙方提供的软件维护与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14:paraId="43C47223">
      <w:pPr>
        <w:pStyle w:val="23"/>
        <w:tabs>
          <w:tab w:val="left" w:pos="1060"/>
        </w:tabs>
        <w:autoSpaceDE w:val="0"/>
        <w:spacing w:before="0" w:beforeAutospacing="0" w:after="0" w:afterAutospacing="0" w:line="520" w:lineRule="exact"/>
        <w:ind w:firstLine="640"/>
        <w:contextualSpacing/>
        <w:rPr>
          <w:rFonts w:asciiTheme="minorEastAsia" w:hAnsiTheme="minorEastAsia" w:eastAsiaTheme="minorEastAsia" w:cstheme="minorEastAsia"/>
          <w:kern w:val="3"/>
          <w:sz w:val="28"/>
        </w:rPr>
      </w:pPr>
      <w:r>
        <w:rPr>
          <w:rFonts w:hint="eastAsia" w:asciiTheme="minorEastAsia" w:hAnsiTheme="minorEastAsia" w:eastAsiaTheme="minorEastAsia" w:cstheme="minorEastAsia"/>
          <w:kern w:val="3"/>
          <w:sz w:val="28"/>
        </w:rPr>
        <w:t>3、甲方利用乙方提交的技术服务工作成果所完成的新的技术成果，归甲方所有。</w:t>
      </w:r>
    </w:p>
    <w:p w14:paraId="6C3231D4">
      <w:pPr>
        <w:pStyle w:val="17"/>
        <w:spacing w:after="0" w:line="520" w:lineRule="exact"/>
        <w:ind w:left="0"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4、乙方利用甲方所提供的技术资料和工作条件完成的新的技术成果，归甲方所有。</w:t>
      </w:r>
    </w:p>
    <w:p w14:paraId="5B634751">
      <w:pPr>
        <w:pStyle w:val="17"/>
        <w:spacing w:after="0" w:line="520" w:lineRule="exact"/>
        <w:ind w:left="0" w:firstLine="560"/>
        <w:rPr>
          <w:rFonts w:asciiTheme="minorEastAsia" w:hAnsiTheme="minorEastAsia" w:eastAsiaTheme="minorEastAsia" w:cstheme="minorEastAsia"/>
          <w:sz w:val="28"/>
        </w:rPr>
      </w:pPr>
    </w:p>
    <w:p w14:paraId="0F65DBFA">
      <w:pPr>
        <w:pStyle w:val="4"/>
        <w:spacing w:line="520" w:lineRule="exact"/>
        <w:ind w:firstLine="525"/>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七、违约条款</w:t>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p>
    <w:p w14:paraId="550E7751">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1、甲方逾期付款的，每逾期1日，按逾期付款金额的2‰向乙方支付违约金；逾期超过30日，乙方有权暂停开发或售后服务，由此造成的损失由甲方承担。</w:t>
      </w:r>
    </w:p>
    <w:p w14:paraId="4F85DE8B">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2、乙方逾期交付的，每逾期1日，按合同总金额的2‰向甲方支付违约金；逾期超过30日，甲方有权解除合同，乙方需退还已收款项，并赔偿合同总金额5%的违约金。</w:t>
      </w:r>
    </w:p>
    <w:p w14:paraId="76FAB066">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3、乙方开发的系统未达到验收标准，经整改仍不合格的，甲方有权解除合同，乙方需退还已收款项，并赔偿合同总金额5%的违约金；若甲方同意继续履行，乙方需免费整改，直至达标，且延长维护期6个月。</w:t>
      </w:r>
    </w:p>
    <w:p w14:paraId="417CDB41">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4、乙方违反保密义务，泄露甲方数据或信息的，除赔偿甲方损失（包括但不限于直接损失、维权费用）外，</w:t>
      </w:r>
      <w:r>
        <w:rPr>
          <w:rFonts w:ascii="Segoe UI" w:hAnsi="Segoe UI" w:cs="Segoe UI"/>
          <w:sz w:val="27"/>
          <w:szCs w:val="27"/>
          <w:shd w:val="clear" w:color="auto" w:fill="FFFFFF"/>
        </w:rPr>
        <w:t>还需支付合同总额 10% 的违约金，且甲方有权单方解除合同</w:t>
      </w:r>
      <w:r>
        <w:rPr>
          <w:rFonts w:hint="eastAsia" w:ascii="Segoe UI" w:hAnsi="Segoe UI" w:cs="Segoe UI" w:eastAsiaTheme="minorEastAsia"/>
          <w:sz w:val="27"/>
          <w:szCs w:val="27"/>
          <w:shd w:val="clear" w:color="auto" w:fill="FFFFFF"/>
        </w:rPr>
        <w:t>，且</w:t>
      </w:r>
      <w:r>
        <w:rPr>
          <w:rFonts w:hint="eastAsia" w:asciiTheme="minorEastAsia" w:hAnsiTheme="minorEastAsia" w:eastAsiaTheme="minorEastAsia" w:cstheme="minorEastAsia"/>
          <w:sz w:val="28"/>
        </w:rPr>
        <w:t>甲方有权单方解除合同。</w:t>
      </w:r>
    </w:p>
    <w:p w14:paraId="78870727">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5、甲方擅自变更需求且未协商确认，导致乙方额外工作量的，需支付相应费用，开发周期相应延长。</w:t>
      </w:r>
    </w:p>
    <w:p w14:paraId="5D1CA1BA">
      <w:pPr>
        <w:pStyle w:val="4"/>
        <w:numPr>
          <w:ilvl w:val="255"/>
          <w:numId w:val="0"/>
        </w:numPr>
        <w:spacing w:line="520" w:lineRule="exact"/>
        <w:ind w:firstLine="560" w:firstLineChars="20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6、</w:t>
      </w:r>
      <w:r>
        <w:rPr>
          <w:rFonts w:hint="eastAsia" w:asciiTheme="minorEastAsia" w:hAnsiTheme="minorEastAsia" w:eastAsiaTheme="minorEastAsia" w:cstheme="minorEastAsia"/>
          <w:sz w:val="28"/>
          <w:szCs w:val="28"/>
        </w:rPr>
        <w:t>因甲方违约导致合同终止的，乙方有权向甲方收取已交付产品所对应的合同价款及其他已履约部分所对应的合同价款。</w:t>
      </w:r>
    </w:p>
    <w:p w14:paraId="120E5F25">
      <w:pPr>
        <w:pStyle w:val="4"/>
        <w:spacing w:line="520" w:lineRule="exact"/>
        <w:ind w:firstLine="562"/>
        <w:rPr>
          <w:rFonts w:asciiTheme="minorEastAsia" w:hAnsiTheme="minorEastAsia" w:eastAsiaTheme="minorEastAsia" w:cstheme="minorEastAsia"/>
          <w:b/>
          <w:sz w:val="28"/>
          <w:szCs w:val="28"/>
        </w:rPr>
      </w:pPr>
    </w:p>
    <w:p w14:paraId="0DCB6594">
      <w:pPr>
        <w:pStyle w:val="4"/>
        <w:spacing w:line="520" w:lineRule="exact"/>
        <w:ind w:firstLine="56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八、保密条款</w:t>
      </w:r>
    </w:p>
    <w:p w14:paraId="0DA03CA8">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保密信息范围：甲乙双方确认，保密信息包括但不限于：甲方提供的业务数据、用户数据、测试样本、接口参数、需求资料等未公开信息；乙方生成的开发方案、源代码、核心技术、交付成果及本合同条款内容，无论以书面、电子、口头等任何形式存在，均受本条款约束。</w:t>
      </w:r>
    </w:p>
    <w:p w14:paraId="7FD0A1C8">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2、保密义务：未经信息所属方书面同意，双方不得向任何第三方（含内部非项目人员）泄露、披露、复制、使用保密信息，不得将保密信息用于本合同约定外用途。</w:t>
      </w:r>
    </w:p>
    <w:p w14:paraId="6E10CAB2">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乙方需对项目人员开展保密培训，签订保密协议，采取加密存储、权限管控等安全措施保护甲方保密信息，不得存储于非专用设备或公共网络。</w:t>
      </w:r>
    </w:p>
    <w:p w14:paraId="2A162F09">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3、保密例外：法律法规或监管要求披露（需提前通知并最小化披露）、已公开且非因违约导致、获知前已合法拥有、从第三方合法获取（无保密义务）、独立开发未使用对方保密信息的内容，不受保密义务约束。</w:t>
      </w:r>
    </w:p>
    <w:p w14:paraId="6B3CEE37">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4、保密期限：保密义务自获知保密信息之日起生效，不因合同履行完毕、解除或终止而终止，甲方保密信息及项目关联保密信息保密期限为永久，乙方非项目关联保密信息保密期限为合同终止后三年。</w:t>
      </w:r>
    </w:p>
    <w:p w14:paraId="5FAC7A32">
      <w:pPr>
        <w:pStyle w:val="4"/>
        <w:spacing w:line="520" w:lineRule="exact"/>
        <w:ind w:firstLine="560"/>
        <w:rPr>
          <w:rFonts w:asciiTheme="minorEastAsia" w:hAnsiTheme="minorEastAsia" w:eastAsiaTheme="minorEastAsia" w:cstheme="minorEastAsia"/>
          <w:b/>
          <w:sz w:val="28"/>
          <w:szCs w:val="28"/>
        </w:rPr>
      </w:pPr>
    </w:p>
    <w:p w14:paraId="4437401C">
      <w:pPr>
        <w:pStyle w:val="4"/>
        <w:spacing w:line="520" w:lineRule="exact"/>
        <w:ind w:firstLine="56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九、合同变更与解除</w:t>
      </w:r>
      <w:r>
        <w:rPr>
          <w:rFonts w:hint="eastAsia" w:asciiTheme="minorEastAsia" w:hAnsiTheme="minorEastAsia" w:eastAsiaTheme="minorEastAsia" w:cstheme="minorEastAsia"/>
          <w:b/>
          <w:sz w:val="28"/>
          <w:szCs w:val="28"/>
        </w:rPr>
        <w:tab/>
      </w:r>
      <w:r>
        <w:rPr>
          <w:rFonts w:hint="eastAsia" w:asciiTheme="minorEastAsia" w:hAnsiTheme="minorEastAsia" w:eastAsiaTheme="minorEastAsia" w:cstheme="minorEastAsia"/>
          <w:b/>
          <w:sz w:val="28"/>
          <w:szCs w:val="28"/>
        </w:rPr>
        <w:tab/>
      </w:r>
    </w:p>
    <w:p w14:paraId="4B2BD7B8">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1、双方如需变更合同内容，需签订书面补充协议，补充协议与本合同具有同等法律效力；</w:t>
      </w:r>
    </w:p>
    <w:p w14:paraId="4EB0EDD9">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2、发生不可抗力（如地震、火灾、政策调整等）导致合同无法履行的，双方互不承担违约责任，需及时沟通，协商解除合同或变更履行方案；</w:t>
      </w:r>
    </w:p>
    <w:p w14:paraId="5F31C56F">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3、一方严重违反本合同约定，经催告后30日内仍未改正的，另一方有权书面通知对方解除合同，解除通知送达之日起合同解除，违约方承担相应违约责任。</w:t>
      </w:r>
    </w:p>
    <w:p w14:paraId="249B44EF">
      <w:pPr>
        <w:pStyle w:val="4"/>
        <w:spacing w:line="520" w:lineRule="exact"/>
        <w:ind w:firstLine="562"/>
        <w:rPr>
          <w:rFonts w:asciiTheme="minorEastAsia" w:hAnsiTheme="minorEastAsia" w:eastAsiaTheme="minorEastAsia" w:cstheme="minorEastAsia"/>
          <w:b/>
          <w:sz w:val="28"/>
          <w:szCs w:val="28"/>
        </w:rPr>
      </w:pPr>
    </w:p>
    <w:p w14:paraId="07476D46">
      <w:pPr>
        <w:pStyle w:val="4"/>
        <w:spacing w:line="520" w:lineRule="exact"/>
        <w:ind w:firstLine="562"/>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十、不可抗力</w:t>
      </w:r>
    </w:p>
    <w:p w14:paraId="77F12FA9">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如发生不可抗力事件，受不可抗力事件影响的一方应在不可抗力发生后不迟于十个工作日内，将不可抗力事件的发生、预计延续的时间和终止情况书面通知给另一方。双方同意，可据此免除全部或部分责任。</w:t>
      </w:r>
    </w:p>
    <w:p w14:paraId="1563823C">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不可抗力事件包括火灾、水灾、地震、台风、自然灾害、战争、交通瘫痪、突发疫情等。</w:t>
      </w:r>
    </w:p>
    <w:p w14:paraId="747CB018">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主张不可抗力的一方有责任在发生不可抗力事件时采取适当的补救措施，尽量减少不可抗力事件给合同双方带来的损失，由此支付的费用由合同双方依据受益比例合理分担。</w:t>
      </w:r>
    </w:p>
    <w:p w14:paraId="76233785">
      <w:pPr>
        <w:pStyle w:val="4"/>
        <w:spacing w:line="520" w:lineRule="exact"/>
        <w:ind w:firstLine="560"/>
        <w:rPr>
          <w:rFonts w:asciiTheme="minorEastAsia" w:hAnsiTheme="minorEastAsia" w:eastAsiaTheme="minorEastAsia" w:cstheme="minorEastAsia"/>
          <w:b/>
          <w:sz w:val="28"/>
          <w:szCs w:val="28"/>
        </w:rPr>
      </w:pPr>
    </w:p>
    <w:p w14:paraId="0FB024B2">
      <w:pPr>
        <w:pStyle w:val="4"/>
        <w:spacing w:line="520" w:lineRule="exact"/>
        <w:ind w:firstLine="56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十一、争议解决</w:t>
      </w:r>
    </w:p>
    <w:p w14:paraId="798226F9">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本合同使用中华人民共和国的相关法律、法规。双方因履行本合同而发生的争议，应友好协商解决。本合同由甲乙双方在西安签订，任何有关本合同的争议由甲方所在地法院管辖。</w:t>
      </w:r>
    </w:p>
    <w:p w14:paraId="55DCF02F">
      <w:pPr>
        <w:pStyle w:val="4"/>
        <w:spacing w:line="520" w:lineRule="exact"/>
        <w:ind w:firstLine="560"/>
        <w:rPr>
          <w:rFonts w:asciiTheme="minorEastAsia" w:hAnsiTheme="minorEastAsia" w:eastAsiaTheme="minorEastAsia" w:cstheme="minorEastAsia"/>
          <w:b/>
          <w:sz w:val="28"/>
          <w:szCs w:val="28"/>
        </w:rPr>
      </w:pPr>
    </w:p>
    <w:p w14:paraId="65FA41E5">
      <w:pPr>
        <w:pStyle w:val="4"/>
        <w:spacing w:line="520" w:lineRule="exact"/>
        <w:ind w:firstLine="560"/>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十二、其他</w:t>
      </w:r>
    </w:p>
    <w:p w14:paraId="637A22DB">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1、本合同一式四份，合同双方各执两份，本合同附件具有同等法律效力。</w:t>
      </w:r>
    </w:p>
    <w:p w14:paraId="468BBA9C">
      <w:pPr>
        <w:pStyle w:val="4"/>
        <w:spacing w:line="520" w:lineRule="exact"/>
        <w:ind w:firstLine="560"/>
        <w:rPr>
          <w:rFonts w:asciiTheme="minorEastAsia" w:hAnsiTheme="minorEastAsia" w:eastAsiaTheme="minorEastAsia" w:cstheme="minorEastAsia"/>
          <w:sz w:val="28"/>
        </w:rPr>
      </w:pPr>
      <w:r>
        <w:rPr>
          <w:rFonts w:asciiTheme="minorEastAsia" w:hAnsiTheme="minorEastAsia" w:eastAsiaTheme="minorEastAsia" w:cstheme="minorEastAsia"/>
          <w:sz w:val="28"/>
        </w:rPr>
        <w:t>2</w:t>
      </w:r>
      <w:r>
        <w:rPr>
          <w:rFonts w:hint="eastAsia" w:asciiTheme="minorEastAsia" w:hAnsiTheme="minorEastAsia" w:eastAsiaTheme="minorEastAsia" w:cstheme="minorEastAsia"/>
          <w:sz w:val="28"/>
        </w:rPr>
        <w:t>、本合同一经双方签字且盖章后生效。合同执行期间，甲、乙双方均不得随意变更或解除合同。</w:t>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r>
        <w:rPr>
          <w:rFonts w:hint="eastAsia" w:asciiTheme="minorEastAsia" w:hAnsiTheme="minorEastAsia" w:eastAsiaTheme="minorEastAsia" w:cstheme="minorEastAsia"/>
          <w:sz w:val="28"/>
        </w:rPr>
        <w:tab/>
      </w:r>
    </w:p>
    <w:p w14:paraId="47D79EC7">
      <w:pPr>
        <w:pStyle w:val="4"/>
        <w:spacing w:line="520" w:lineRule="exact"/>
        <w:ind w:firstLine="560"/>
        <w:rPr>
          <w:rFonts w:asciiTheme="minorEastAsia" w:hAnsiTheme="minorEastAsia" w:eastAsiaTheme="minorEastAsia" w:cstheme="minorEastAsia"/>
          <w:sz w:val="28"/>
        </w:rPr>
      </w:pPr>
      <w:r>
        <w:rPr>
          <w:rFonts w:hint="eastAsia" w:asciiTheme="minorEastAsia" w:hAnsiTheme="minorEastAsia" w:eastAsiaTheme="minorEastAsia" w:cstheme="minorEastAsia"/>
          <w:sz w:val="28"/>
        </w:rPr>
        <w:t>3、本合同未尽事宜，均须经双方书面确认解决，协商结果以签订补充协议的方式生效。</w:t>
      </w:r>
    </w:p>
    <w:p w14:paraId="7B94CE47">
      <w:pPr>
        <w:pStyle w:val="4"/>
        <w:spacing w:line="520" w:lineRule="exact"/>
        <w:ind w:firstLine="560"/>
        <w:rPr>
          <w:sz w:val="28"/>
        </w:rPr>
      </w:pPr>
      <w:r>
        <w:rPr>
          <w:rFonts w:hint="eastAsia" w:asciiTheme="minorEastAsia" w:hAnsiTheme="minorEastAsia" w:eastAsiaTheme="minorEastAsia" w:cstheme="minorEastAsia"/>
          <w:sz w:val="28"/>
        </w:rPr>
        <w:t>4、本合同自甲乙双方权利义务履行完毕后自动终止。</w:t>
      </w:r>
    </w:p>
    <w:p w14:paraId="259246B1">
      <w:pPr>
        <w:pStyle w:val="4"/>
        <w:snapToGrid w:val="0"/>
        <w:spacing w:line="520" w:lineRule="exact"/>
        <w:ind w:left="600"/>
        <w:rPr>
          <w:rFonts w:ascii="宋体, SimSun" w:hAnsi="宋体, SimSun"/>
          <w:b/>
          <w:sz w:val="28"/>
          <w:szCs w:val="28"/>
        </w:rPr>
      </w:pPr>
      <w:r>
        <w:rPr>
          <w:rFonts w:ascii="宋体, SimSun" w:hAnsi="宋体, SimSun"/>
          <w:b/>
          <w:sz w:val="28"/>
          <w:szCs w:val="28"/>
        </w:rPr>
        <w:t>（以下无正文）</w:t>
      </w:r>
    </w:p>
    <w:tbl>
      <w:tblPr>
        <w:tblStyle w:val="25"/>
        <w:tblW w:w="0" w:type="auto"/>
        <w:tblInd w:w="0" w:type="dxa"/>
        <w:tblLayout w:type="fixed"/>
        <w:tblCellMar>
          <w:top w:w="0" w:type="dxa"/>
          <w:left w:w="108" w:type="dxa"/>
          <w:bottom w:w="0" w:type="dxa"/>
          <w:right w:w="108" w:type="dxa"/>
        </w:tblCellMar>
      </w:tblPr>
      <w:tblGrid>
        <w:gridCol w:w="4582"/>
        <w:gridCol w:w="4560"/>
      </w:tblGrid>
      <w:tr w14:paraId="1C94FBA9">
        <w:tblPrEx>
          <w:tblCellMar>
            <w:top w:w="0" w:type="dxa"/>
            <w:left w:w="108" w:type="dxa"/>
            <w:bottom w:w="0" w:type="dxa"/>
            <w:right w:w="108" w:type="dxa"/>
          </w:tblCellMar>
        </w:tblPrEx>
        <w:trPr>
          <w:trHeight w:val="5145" w:hRule="atLeast"/>
        </w:trPr>
        <w:tc>
          <w:tcPr>
            <w:tcW w:w="4582" w:type="dxa"/>
            <w:noWrap/>
            <w:tcMar>
              <w:top w:w="113" w:type="dxa"/>
              <w:left w:w="113" w:type="dxa"/>
              <w:bottom w:w="113" w:type="dxa"/>
              <w:right w:w="113" w:type="dxa"/>
            </w:tcMar>
          </w:tcPr>
          <w:p w14:paraId="4C3AD725">
            <w:pPr>
              <w:autoSpaceDE w:val="0"/>
              <w:spacing w:line="440" w:lineRule="exact"/>
              <w:ind w:left="240" w:leftChars="100"/>
              <w:rPr>
                <w:rFonts w:ascii="楷体" w:hAnsi="楷体" w:eastAsia="楷体" w:cs="楷体"/>
              </w:rPr>
            </w:pPr>
            <w:r>
              <w:rPr>
                <w:rFonts w:hint="eastAsia" w:ascii="楷体" w:hAnsi="楷体" w:eastAsia="楷体" w:cs="楷体"/>
              </w:rPr>
              <w:t xml:space="preserve">甲方名称（公章）： </w:t>
            </w:r>
          </w:p>
          <w:p w14:paraId="0055402E">
            <w:pPr>
              <w:autoSpaceDE w:val="0"/>
              <w:spacing w:line="440" w:lineRule="exact"/>
              <w:ind w:left="240" w:leftChars="100"/>
              <w:rPr>
                <w:rFonts w:ascii="楷体" w:hAnsi="楷体" w:eastAsia="楷体" w:cs="楷体"/>
              </w:rPr>
            </w:pPr>
          </w:p>
          <w:p w14:paraId="21E7E72A">
            <w:pPr>
              <w:autoSpaceDE w:val="0"/>
              <w:spacing w:line="440" w:lineRule="exact"/>
              <w:ind w:left="240" w:leftChars="100"/>
              <w:rPr>
                <w:rFonts w:ascii="楷体" w:hAnsi="楷体" w:eastAsia="楷体" w:cs="楷体"/>
              </w:rPr>
            </w:pPr>
            <w:r>
              <w:rPr>
                <w:rFonts w:hint="eastAsia" w:ascii="楷体" w:hAnsi="楷体" w:eastAsia="楷体" w:cs="楷体"/>
              </w:rPr>
              <w:t xml:space="preserve">地    址： </w:t>
            </w:r>
          </w:p>
          <w:p w14:paraId="33A23C3C">
            <w:pPr>
              <w:autoSpaceDE w:val="0"/>
              <w:spacing w:line="440" w:lineRule="exact"/>
              <w:ind w:left="240" w:leftChars="100"/>
              <w:rPr>
                <w:rFonts w:ascii="楷体" w:hAnsi="楷体" w:eastAsia="楷体" w:cs="楷体"/>
              </w:rPr>
            </w:pPr>
            <w:r>
              <w:rPr>
                <w:rFonts w:hint="eastAsia" w:ascii="楷体" w:hAnsi="楷体" w:eastAsia="楷体" w:cs="楷体"/>
              </w:rPr>
              <w:t>电    话：</w:t>
            </w:r>
          </w:p>
          <w:p w14:paraId="24BF1443">
            <w:pPr>
              <w:autoSpaceDE w:val="0"/>
              <w:spacing w:line="440" w:lineRule="exact"/>
              <w:ind w:left="240" w:leftChars="100"/>
              <w:rPr>
                <w:rFonts w:ascii="楷体" w:hAnsi="楷体" w:eastAsia="楷体" w:cs="楷体"/>
              </w:rPr>
            </w:pPr>
            <w:r>
              <w:rPr>
                <w:rFonts w:hint="eastAsia" w:ascii="楷体" w:hAnsi="楷体" w:eastAsia="楷体" w:cs="楷体"/>
              </w:rPr>
              <w:t>传    真：</w:t>
            </w:r>
          </w:p>
          <w:p w14:paraId="3F04C231">
            <w:pPr>
              <w:autoSpaceDE w:val="0"/>
              <w:spacing w:line="440" w:lineRule="exact"/>
              <w:ind w:left="240" w:leftChars="100"/>
              <w:rPr>
                <w:rFonts w:ascii="楷体" w:hAnsi="楷体" w:eastAsia="楷体" w:cs="楷体"/>
              </w:rPr>
            </w:pPr>
          </w:p>
          <w:p w14:paraId="64F427B3">
            <w:pPr>
              <w:autoSpaceDE w:val="0"/>
              <w:spacing w:line="440" w:lineRule="exact"/>
              <w:ind w:left="240" w:leftChars="100"/>
              <w:rPr>
                <w:rFonts w:ascii="楷体" w:hAnsi="楷体" w:eastAsia="楷体" w:cs="楷体"/>
              </w:rPr>
            </w:pPr>
          </w:p>
          <w:p w14:paraId="23D3A39D">
            <w:pPr>
              <w:autoSpaceDE w:val="0"/>
              <w:spacing w:line="440" w:lineRule="exact"/>
              <w:ind w:left="240" w:leftChars="100"/>
              <w:rPr>
                <w:rFonts w:ascii="楷体" w:hAnsi="楷体" w:eastAsia="楷体" w:cs="楷体"/>
              </w:rPr>
            </w:pPr>
          </w:p>
          <w:p w14:paraId="57CC02D1">
            <w:pPr>
              <w:autoSpaceDE w:val="0"/>
              <w:spacing w:line="440" w:lineRule="exact"/>
              <w:ind w:left="240" w:leftChars="100"/>
              <w:rPr>
                <w:rFonts w:ascii="楷体" w:hAnsi="楷体" w:eastAsia="楷体" w:cs="楷体"/>
              </w:rPr>
            </w:pPr>
          </w:p>
          <w:p w14:paraId="2FF940D6">
            <w:pPr>
              <w:autoSpaceDE w:val="0"/>
              <w:spacing w:line="440" w:lineRule="exact"/>
              <w:ind w:left="240" w:leftChars="100"/>
              <w:rPr>
                <w:rFonts w:ascii="楷体" w:hAnsi="楷体" w:eastAsia="楷体" w:cs="楷体"/>
              </w:rPr>
            </w:pPr>
            <w:r>
              <w:rPr>
                <w:rFonts w:hint="eastAsia" w:ascii="楷体" w:hAnsi="楷体" w:eastAsia="楷体" w:cs="楷体"/>
              </w:rPr>
              <w:t>法定代表签字：</w:t>
            </w:r>
          </w:p>
          <w:p w14:paraId="0D68D410">
            <w:pPr>
              <w:autoSpaceDE w:val="0"/>
              <w:spacing w:line="440" w:lineRule="exact"/>
              <w:rPr>
                <w:rFonts w:ascii="楷体" w:hAnsi="楷体" w:eastAsia="楷体" w:cs="楷体"/>
              </w:rPr>
            </w:pPr>
            <w:r>
              <w:rPr>
                <w:rFonts w:hint="eastAsia" w:ascii="楷体" w:hAnsi="楷体" w:eastAsia="楷体" w:cs="楷体"/>
              </w:rPr>
              <w:t xml:space="preserve">                  年  月  日      </w:t>
            </w:r>
          </w:p>
        </w:tc>
        <w:tc>
          <w:tcPr>
            <w:tcW w:w="4560" w:type="dxa"/>
            <w:noWrap/>
            <w:tcMar>
              <w:top w:w="113" w:type="dxa"/>
              <w:left w:w="113" w:type="dxa"/>
              <w:bottom w:w="113" w:type="dxa"/>
              <w:right w:w="113" w:type="dxa"/>
            </w:tcMar>
          </w:tcPr>
          <w:p w14:paraId="13DBD197">
            <w:pPr>
              <w:autoSpaceDE w:val="0"/>
              <w:spacing w:line="440" w:lineRule="exact"/>
              <w:ind w:left="240" w:leftChars="100"/>
              <w:rPr>
                <w:rFonts w:ascii="楷体" w:hAnsi="楷体" w:eastAsia="楷体" w:cs="楷体"/>
              </w:rPr>
            </w:pPr>
            <w:r>
              <w:rPr>
                <w:rFonts w:hint="eastAsia" w:ascii="楷体" w:hAnsi="楷体" w:eastAsia="楷体" w:cs="楷体"/>
              </w:rPr>
              <w:t>乙方名称（公章）：</w:t>
            </w:r>
          </w:p>
          <w:p w14:paraId="7A840F3E">
            <w:pPr>
              <w:autoSpaceDE w:val="0"/>
              <w:spacing w:line="440" w:lineRule="exact"/>
              <w:ind w:left="240" w:leftChars="100"/>
              <w:rPr>
                <w:rFonts w:ascii="楷体" w:hAnsi="楷体" w:eastAsia="楷体" w:cs="楷体"/>
              </w:rPr>
            </w:pPr>
            <w:r>
              <w:rPr>
                <w:rFonts w:hint="eastAsia" w:ascii="楷体" w:hAnsi="楷体" w:eastAsia="楷体" w:cs="楷体"/>
              </w:rPr>
              <w:t>地    址：</w:t>
            </w:r>
          </w:p>
          <w:p w14:paraId="24D763E1">
            <w:pPr>
              <w:autoSpaceDE w:val="0"/>
              <w:spacing w:line="440" w:lineRule="exact"/>
              <w:ind w:left="240" w:leftChars="100"/>
              <w:rPr>
                <w:rFonts w:ascii="楷体" w:hAnsi="楷体" w:eastAsia="楷体" w:cs="楷体"/>
              </w:rPr>
            </w:pPr>
            <w:r>
              <w:rPr>
                <w:rFonts w:hint="eastAsia" w:ascii="楷体" w:hAnsi="楷体" w:eastAsia="楷体" w:cs="楷体"/>
              </w:rPr>
              <w:t>电    话：</w:t>
            </w:r>
          </w:p>
          <w:p w14:paraId="265B044C">
            <w:pPr>
              <w:autoSpaceDE w:val="0"/>
              <w:spacing w:line="440" w:lineRule="exact"/>
              <w:ind w:left="240" w:leftChars="100"/>
              <w:rPr>
                <w:rFonts w:ascii="楷体" w:hAnsi="楷体" w:eastAsia="楷体" w:cs="楷体"/>
              </w:rPr>
            </w:pPr>
            <w:r>
              <w:rPr>
                <w:rFonts w:hint="eastAsia" w:ascii="楷体" w:hAnsi="楷体" w:eastAsia="楷体" w:cs="楷体"/>
              </w:rPr>
              <w:t>传    真：</w:t>
            </w:r>
          </w:p>
          <w:p w14:paraId="51242273">
            <w:pPr>
              <w:autoSpaceDE w:val="0"/>
              <w:spacing w:line="440" w:lineRule="exact"/>
              <w:ind w:left="240" w:leftChars="100"/>
              <w:rPr>
                <w:rFonts w:ascii="楷体" w:hAnsi="楷体" w:eastAsia="楷体" w:cs="楷体"/>
              </w:rPr>
            </w:pPr>
            <w:r>
              <w:rPr>
                <w:rFonts w:hint="eastAsia" w:ascii="楷体" w:hAnsi="楷体" w:eastAsia="楷体" w:cs="楷体"/>
              </w:rPr>
              <w:t>开户银行：</w:t>
            </w:r>
          </w:p>
          <w:p w14:paraId="63C74341">
            <w:pPr>
              <w:autoSpaceDE w:val="0"/>
              <w:spacing w:line="440" w:lineRule="exact"/>
              <w:ind w:left="240" w:leftChars="100"/>
              <w:rPr>
                <w:rFonts w:ascii="楷体" w:hAnsi="楷体" w:eastAsia="楷体" w:cs="楷体"/>
              </w:rPr>
            </w:pPr>
            <w:r>
              <w:rPr>
                <w:rFonts w:hint="eastAsia" w:ascii="楷体" w:hAnsi="楷体" w:eastAsia="楷体" w:cs="楷体"/>
              </w:rPr>
              <w:t>帐    号：</w:t>
            </w:r>
          </w:p>
          <w:p w14:paraId="25C04E13">
            <w:pPr>
              <w:autoSpaceDE w:val="0"/>
              <w:spacing w:line="440" w:lineRule="exact"/>
              <w:ind w:left="240" w:leftChars="100"/>
              <w:rPr>
                <w:rFonts w:ascii="楷体" w:hAnsi="楷体" w:eastAsia="楷体" w:cs="楷体"/>
              </w:rPr>
            </w:pPr>
          </w:p>
          <w:p w14:paraId="3398B89D">
            <w:pPr>
              <w:autoSpaceDE w:val="0"/>
              <w:spacing w:line="440" w:lineRule="exact"/>
              <w:ind w:left="240" w:leftChars="100"/>
              <w:rPr>
                <w:rFonts w:ascii="楷体" w:hAnsi="楷体" w:eastAsia="楷体" w:cs="楷体"/>
              </w:rPr>
            </w:pPr>
          </w:p>
          <w:p w14:paraId="2F9CDD1C">
            <w:pPr>
              <w:autoSpaceDE w:val="0"/>
              <w:spacing w:line="440" w:lineRule="exact"/>
              <w:ind w:left="240" w:leftChars="100"/>
              <w:rPr>
                <w:rFonts w:ascii="楷体" w:hAnsi="楷体" w:eastAsia="楷体" w:cs="楷体"/>
              </w:rPr>
            </w:pPr>
            <w:bookmarkStart w:id="1" w:name="_GoBack"/>
            <w:bookmarkEnd w:id="1"/>
          </w:p>
          <w:p w14:paraId="657B7EA6">
            <w:pPr>
              <w:autoSpaceDE w:val="0"/>
              <w:spacing w:line="440" w:lineRule="exact"/>
              <w:ind w:left="240" w:leftChars="100"/>
              <w:rPr>
                <w:rFonts w:ascii="楷体" w:hAnsi="楷体" w:eastAsia="楷体" w:cs="楷体"/>
              </w:rPr>
            </w:pPr>
            <w:r>
              <w:rPr>
                <w:rFonts w:hint="eastAsia" w:ascii="楷体" w:hAnsi="楷体" w:eastAsia="楷体" w:cs="楷体"/>
              </w:rPr>
              <w:t>法定代表签字：</w:t>
            </w:r>
          </w:p>
          <w:p w14:paraId="6B0D11D8">
            <w:pPr>
              <w:autoSpaceDE w:val="0"/>
              <w:spacing w:line="440" w:lineRule="exact"/>
              <w:ind w:left="240" w:leftChars="100"/>
              <w:rPr>
                <w:rFonts w:ascii="楷体" w:hAnsi="楷体" w:eastAsia="楷体" w:cs="楷体"/>
              </w:rPr>
            </w:pPr>
            <w:r>
              <w:rPr>
                <w:rFonts w:hint="eastAsia" w:ascii="楷体" w:hAnsi="楷体" w:eastAsia="楷体" w:cs="楷体"/>
              </w:rPr>
              <w:t xml:space="preserve">                  年  月  日</w:t>
            </w:r>
          </w:p>
        </w:tc>
      </w:tr>
    </w:tbl>
    <w:p w14:paraId="4843C1EB">
      <w:pPr>
        <w:pStyle w:val="4"/>
        <w:spacing w:line="560" w:lineRule="exact"/>
      </w:pPr>
    </w:p>
    <w:sectPr>
      <w:headerReference r:id="rId3" w:type="default"/>
      <w:footerReference r:id="rId4" w:type="default"/>
      <w:pgSz w:w="11905" w:h="16837"/>
      <w:pgMar w:top="1418" w:right="1418" w:bottom="1418"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黑体, SimHei">
    <w:altName w:val="Times New Roman"/>
    <w:panose1 w:val="00000000000000000000"/>
    <w:charset w:val="00"/>
    <w:family w:val="auto"/>
    <w:pitch w:val="default"/>
    <w:sig w:usb0="00000000" w:usb1="00000000" w:usb2="00000000" w:usb3="00000000" w:csb0="00000000" w:csb1="00000000"/>
  </w:font>
  <w:font w:name="宋体, SimSun">
    <w:altName w:val="Times New Roman"/>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6D624">
    <w:pPr>
      <w:pStyle w:val="19"/>
      <w:jc w:val="center"/>
    </w:pPr>
    <w:r>
      <w:rPr>
        <w:sz w:val="21"/>
        <w:szCs w:val="21"/>
      </w:rPr>
      <w:t>第</w:t>
    </w: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r>
      <w:rPr>
        <w:sz w:val="21"/>
        <w:szCs w:val="21"/>
      </w:rPr>
      <w:t>页共</w:t>
    </w:r>
    <w:r>
      <w:rPr>
        <w:sz w:val="21"/>
        <w:szCs w:val="21"/>
      </w:rPr>
      <w:fldChar w:fldCharType="begin"/>
    </w:r>
    <w:r>
      <w:rPr>
        <w:sz w:val="21"/>
        <w:szCs w:val="21"/>
      </w:rPr>
      <w:instrText xml:space="preserve"> NUMPAGES \* ARABIC </w:instrText>
    </w:r>
    <w:r>
      <w:rPr>
        <w:sz w:val="21"/>
        <w:szCs w:val="21"/>
      </w:rPr>
      <w:fldChar w:fldCharType="separate"/>
    </w:r>
    <w:r>
      <w:rPr>
        <w:sz w:val="21"/>
        <w:szCs w:val="21"/>
      </w:rPr>
      <w:t>10</w:t>
    </w:r>
    <w:r>
      <w:rPr>
        <w:sz w:val="21"/>
        <w:szCs w:val="21"/>
      </w:rPr>
      <w:fldChar w:fldCharType="end"/>
    </w:r>
    <w:r>
      <w:rPr>
        <w:sz w:val="21"/>
        <w:szCs w:val="21"/>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DE131">
    <w:pPr>
      <w:pStyle w:val="20"/>
      <w:rPr>
        <w:sz w:val="21"/>
      </w:rPr>
    </w:pPr>
    <w:r>
      <w:rPr>
        <w:sz w:val="21"/>
      </w:rPr>
      <w:t>计算机软件产品购销合同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156995"/>
    <w:multiLevelType w:val="multilevel"/>
    <w:tmpl w:val="46156995"/>
    <w:lvl w:ilvl="0" w:tentative="0">
      <w:start w:val="1"/>
      <w:numFmt w:val="decimal"/>
      <w:pStyle w:val="2"/>
      <w:lvlText w:val="第 %1 条"/>
      <w:lvlJc w:val="left"/>
    </w:lvl>
    <w:lvl w:ilvl="1" w:tentative="0">
      <w:start w:val="1"/>
      <w:numFmt w:val="decimal"/>
      <w:pStyle w:val="3"/>
      <w:lvlText w:val="节 %1.%2"/>
      <w:lvlJc w:val="left"/>
    </w:lvl>
    <w:lvl w:ilvl="2" w:tentative="0">
      <w:start w:val="1"/>
      <w:numFmt w:val="lowerLetter"/>
      <w:pStyle w:val="5"/>
      <w:lvlText w:val="(%3)"/>
      <w:lvlJc w:val="left"/>
      <w:pPr>
        <w:ind w:left="720" w:hanging="432"/>
      </w:pPr>
    </w:lvl>
    <w:lvl w:ilvl="3" w:tentative="0">
      <w:start w:val="1"/>
      <w:numFmt w:val="lowerRoman"/>
      <w:pStyle w:val="6"/>
      <w:lvlText w:val="(%4)"/>
      <w:lvlJc w:val="right"/>
      <w:pPr>
        <w:ind w:left="864" w:hanging="144"/>
      </w:pPr>
    </w:lvl>
    <w:lvl w:ilvl="4" w:tentative="0">
      <w:start w:val="1"/>
      <w:numFmt w:val="decimal"/>
      <w:pStyle w:val="7"/>
      <w:lvlText w:val="%5)"/>
      <w:lvlJc w:val="left"/>
      <w:pPr>
        <w:ind w:left="1008" w:hanging="432"/>
      </w:pPr>
    </w:lvl>
    <w:lvl w:ilvl="5" w:tentative="0">
      <w:start w:val="1"/>
      <w:numFmt w:val="lowerLetter"/>
      <w:pStyle w:val="8"/>
      <w:lvlText w:val="%6)"/>
      <w:lvlJc w:val="left"/>
      <w:pPr>
        <w:ind w:left="1152" w:hanging="432"/>
      </w:pPr>
    </w:lvl>
    <w:lvl w:ilvl="6" w:tentative="0">
      <w:start w:val="1"/>
      <w:numFmt w:val="lowerRoman"/>
      <w:pStyle w:val="9"/>
      <w:lvlText w:val="%7)"/>
      <w:lvlJc w:val="right"/>
      <w:pPr>
        <w:ind w:left="1296" w:hanging="288"/>
      </w:pPr>
    </w:lvl>
    <w:lvl w:ilvl="7" w:tentative="0">
      <w:start w:val="1"/>
      <w:numFmt w:val="lowerLetter"/>
      <w:pStyle w:val="10"/>
      <w:lvlText w:val="%8."/>
      <w:lvlJc w:val="left"/>
      <w:pPr>
        <w:ind w:left="1440" w:hanging="432"/>
      </w:pPr>
    </w:lvl>
    <w:lvl w:ilvl="8" w:tentative="0">
      <w:start w:val="1"/>
      <w:numFmt w:val="lowerRoman"/>
      <w:pStyle w:val="11"/>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trackRevisions w:val="1"/>
  <w:documentProtection w:enforcement="0"/>
  <w:defaultTabStop w:val="420"/>
  <w:autoHyphenation/>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D9B"/>
    <w:rsid w:val="00000EF9"/>
    <w:rsid w:val="00001D67"/>
    <w:rsid w:val="00021556"/>
    <w:rsid w:val="00027AF4"/>
    <w:rsid w:val="00045143"/>
    <w:rsid w:val="000469E3"/>
    <w:rsid w:val="00074069"/>
    <w:rsid w:val="000C5BF7"/>
    <w:rsid w:val="00123CB2"/>
    <w:rsid w:val="00161104"/>
    <w:rsid w:val="001B14B1"/>
    <w:rsid w:val="001B3056"/>
    <w:rsid w:val="001C1773"/>
    <w:rsid w:val="001C7BC9"/>
    <w:rsid w:val="00206E09"/>
    <w:rsid w:val="00271907"/>
    <w:rsid w:val="00293DE6"/>
    <w:rsid w:val="002949A5"/>
    <w:rsid w:val="002A45A4"/>
    <w:rsid w:val="002C1355"/>
    <w:rsid w:val="002D460F"/>
    <w:rsid w:val="002E24CD"/>
    <w:rsid w:val="002F490C"/>
    <w:rsid w:val="003348EB"/>
    <w:rsid w:val="00350426"/>
    <w:rsid w:val="00364648"/>
    <w:rsid w:val="00373FBF"/>
    <w:rsid w:val="003873FA"/>
    <w:rsid w:val="003A47FF"/>
    <w:rsid w:val="003E34AE"/>
    <w:rsid w:val="003E3FC2"/>
    <w:rsid w:val="00417345"/>
    <w:rsid w:val="0044559F"/>
    <w:rsid w:val="0045458F"/>
    <w:rsid w:val="00467CA3"/>
    <w:rsid w:val="00474C76"/>
    <w:rsid w:val="004A7C25"/>
    <w:rsid w:val="00530A03"/>
    <w:rsid w:val="005379EA"/>
    <w:rsid w:val="00560656"/>
    <w:rsid w:val="005A6834"/>
    <w:rsid w:val="005F472F"/>
    <w:rsid w:val="006803C2"/>
    <w:rsid w:val="006B365E"/>
    <w:rsid w:val="00700E39"/>
    <w:rsid w:val="007374F3"/>
    <w:rsid w:val="00780B52"/>
    <w:rsid w:val="00781269"/>
    <w:rsid w:val="007A2ABA"/>
    <w:rsid w:val="007E19ED"/>
    <w:rsid w:val="007F2F0C"/>
    <w:rsid w:val="008173A2"/>
    <w:rsid w:val="008B4DAE"/>
    <w:rsid w:val="008B5633"/>
    <w:rsid w:val="0090324B"/>
    <w:rsid w:val="009355D4"/>
    <w:rsid w:val="009417C9"/>
    <w:rsid w:val="009B0FA7"/>
    <w:rsid w:val="009F763E"/>
    <w:rsid w:val="00A12D9B"/>
    <w:rsid w:val="00A84497"/>
    <w:rsid w:val="00AC1321"/>
    <w:rsid w:val="00B03ADC"/>
    <w:rsid w:val="00B333E1"/>
    <w:rsid w:val="00B52A30"/>
    <w:rsid w:val="00B8740A"/>
    <w:rsid w:val="00BB2C91"/>
    <w:rsid w:val="00BB451F"/>
    <w:rsid w:val="00BF710B"/>
    <w:rsid w:val="00C34232"/>
    <w:rsid w:val="00C73AD8"/>
    <w:rsid w:val="00C77691"/>
    <w:rsid w:val="00C93BBA"/>
    <w:rsid w:val="00CC0329"/>
    <w:rsid w:val="00CF6CE8"/>
    <w:rsid w:val="00D1242B"/>
    <w:rsid w:val="00D25BA5"/>
    <w:rsid w:val="00DA1CF7"/>
    <w:rsid w:val="00E1310F"/>
    <w:rsid w:val="00E24A22"/>
    <w:rsid w:val="00E33CBA"/>
    <w:rsid w:val="00EA4A53"/>
    <w:rsid w:val="00EF792C"/>
    <w:rsid w:val="00F22706"/>
    <w:rsid w:val="00F506BC"/>
    <w:rsid w:val="00F57523"/>
    <w:rsid w:val="00F67183"/>
    <w:rsid w:val="00FA069F"/>
    <w:rsid w:val="00FA708D"/>
    <w:rsid w:val="00FC1BBD"/>
    <w:rsid w:val="02F05CD7"/>
    <w:rsid w:val="048D25A7"/>
    <w:rsid w:val="05760640"/>
    <w:rsid w:val="062D08AF"/>
    <w:rsid w:val="230B2E63"/>
    <w:rsid w:val="2BF46A28"/>
    <w:rsid w:val="46BC369C"/>
    <w:rsid w:val="4B180017"/>
    <w:rsid w:val="4EAA51BC"/>
    <w:rsid w:val="59D217EB"/>
    <w:rsid w:val="6E3B6A4F"/>
    <w:rsid w:val="70057314"/>
    <w:rsid w:val="712D6917"/>
    <w:rsid w:val="7E632B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ahoma"/>
      <w:kern w:val="3"/>
      <w:sz w:val="24"/>
      <w:szCs w:val="24"/>
      <w:lang w:val="en-US" w:eastAsia="zh-CN" w:bidi="ar-SA"/>
    </w:rPr>
  </w:style>
  <w:style w:type="paragraph" w:styleId="2">
    <w:name w:val="heading 1"/>
    <w:basedOn w:val="1"/>
    <w:next w:val="1"/>
    <w:qFormat/>
    <w:uiPriority w:val="0"/>
    <w:pPr>
      <w:keepNext/>
      <w:keepLines/>
      <w:numPr>
        <w:ilvl w:val="0"/>
        <w:numId w:val="1"/>
      </w:numPr>
      <w:spacing w:before="340" w:after="330" w:line="480" w:lineRule="auto"/>
      <w:outlineLvl w:val="0"/>
    </w:pPr>
    <w:rPr>
      <w:b/>
      <w:bCs/>
      <w:sz w:val="44"/>
      <w:szCs w:val="44"/>
    </w:rPr>
  </w:style>
  <w:style w:type="paragraph" w:styleId="3">
    <w:name w:val="heading 2"/>
    <w:basedOn w:val="4"/>
    <w:next w:val="4"/>
    <w:qFormat/>
    <w:uiPriority w:val="0"/>
    <w:pPr>
      <w:keepNext/>
      <w:keepLines/>
      <w:numPr>
        <w:ilvl w:val="1"/>
        <w:numId w:val="1"/>
      </w:numPr>
      <w:spacing w:before="260" w:after="260" w:line="415" w:lineRule="auto"/>
      <w:outlineLvl w:val="1"/>
    </w:pPr>
    <w:rPr>
      <w:rFonts w:ascii="Arial" w:hAnsi="Arial" w:eastAsia="黑体, SimHei"/>
      <w:b/>
      <w:bCs/>
      <w:sz w:val="32"/>
      <w:szCs w:val="32"/>
    </w:rPr>
  </w:style>
  <w:style w:type="paragraph" w:styleId="5">
    <w:name w:val="heading 3"/>
    <w:basedOn w:val="4"/>
    <w:next w:val="4"/>
    <w:qFormat/>
    <w:uiPriority w:val="0"/>
    <w:pPr>
      <w:keepNext/>
      <w:keepLines/>
      <w:numPr>
        <w:ilvl w:val="2"/>
        <w:numId w:val="1"/>
      </w:numPr>
      <w:spacing w:before="260" w:after="260" w:line="415" w:lineRule="auto"/>
      <w:outlineLvl w:val="2"/>
    </w:pPr>
    <w:rPr>
      <w:b/>
      <w:bCs/>
      <w:sz w:val="32"/>
      <w:szCs w:val="32"/>
    </w:rPr>
  </w:style>
  <w:style w:type="paragraph" w:styleId="6">
    <w:name w:val="heading 4"/>
    <w:basedOn w:val="4"/>
    <w:next w:val="4"/>
    <w:qFormat/>
    <w:uiPriority w:val="0"/>
    <w:pPr>
      <w:keepNext/>
      <w:keepLines/>
      <w:numPr>
        <w:ilvl w:val="3"/>
        <w:numId w:val="1"/>
      </w:numPr>
      <w:spacing w:before="280" w:after="290" w:line="374" w:lineRule="auto"/>
      <w:outlineLvl w:val="3"/>
    </w:pPr>
    <w:rPr>
      <w:rFonts w:ascii="Arial" w:hAnsi="Arial" w:eastAsia="黑体, SimHei"/>
      <w:b/>
      <w:bCs/>
      <w:sz w:val="28"/>
      <w:szCs w:val="28"/>
    </w:rPr>
  </w:style>
  <w:style w:type="paragraph" w:styleId="7">
    <w:name w:val="heading 5"/>
    <w:basedOn w:val="4"/>
    <w:next w:val="4"/>
    <w:qFormat/>
    <w:uiPriority w:val="0"/>
    <w:pPr>
      <w:keepNext/>
      <w:keepLines/>
      <w:numPr>
        <w:ilvl w:val="4"/>
        <w:numId w:val="1"/>
      </w:numPr>
      <w:spacing w:before="280" w:after="290" w:line="374" w:lineRule="auto"/>
      <w:outlineLvl w:val="4"/>
    </w:pPr>
    <w:rPr>
      <w:b/>
      <w:bCs/>
      <w:sz w:val="28"/>
      <w:szCs w:val="28"/>
    </w:rPr>
  </w:style>
  <w:style w:type="paragraph" w:styleId="8">
    <w:name w:val="heading 6"/>
    <w:basedOn w:val="4"/>
    <w:next w:val="4"/>
    <w:qFormat/>
    <w:uiPriority w:val="0"/>
    <w:pPr>
      <w:keepNext/>
      <w:keepLines/>
      <w:numPr>
        <w:ilvl w:val="5"/>
        <w:numId w:val="1"/>
      </w:numPr>
      <w:spacing w:before="240" w:after="64" w:line="319" w:lineRule="auto"/>
      <w:outlineLvl w:val="5"/>
    </w:pPr>
    <w:rPr>
      <w:rFonts w:ascii="Arial" w:hAnsi="Arial" w:eastAsia="黑体, SimHei"/>
      <w:b/>
      <w:bCs/>
      <w:sz w:val="24"/>
    </w:rPr>
  </w:style>
  <w:style w:type="paragraph" w:styleId="9">
    <w:name w:val="heading 7"/>
    <w:basedOn w:val="4"/>
    <w:next w:val="4"/>
    <w:qFormat/>
    <w:uiPriority w:val="0"/>
    <w:pPr>
      <w:keepNext/>
      <w:keepLines/>
      <w:numPr>
        <w:ilvl w:val="6"/>
        <w:numId w:val="1"/>
      </w:numPr>
      <w:spacing w:before="240" w:after="64" w:line="319" w:lineRule="auto"/>
      <w:outlineLvl w:val="6"/>
    </w:pPr>
    <w:rPr>
      <w:b/>
      <w:bCs/>
      <w:sz w:val="24"/>
    </w:rPr>
  </w:style>
  <w:style w:type="paragraph" w:styleId="10">
    <w:name w:val="heading 8"/>
    <w:basedOn w:val="4"/>
    <w:next w:val="4"/>
    <w:qFormat/>
    <w:uiPriority w:val="0"/>
    <w:pPr>
      <w:keepNext/>
      <w:keepLines/>
      <w:numPr>
        <w:ilvl w:val="7"/>
        <w:numId w:val="1"/>
      </w:numPr>
      <w:spacing w:before="240" w:after="64" w:line="319" w:lineRule="auto"/>
      <w:outlineLvl w:val="7"/>
    </w:pPr>
    <w:rPr>
      <w:rFonts w:ascii="Arial" w:hAnsi="Arial" w:eastAsia="黑体, SimHei"/>
      <w:sz w:val="24"/>
    </w:rPr>
  </w:style>
  <w:style w:type="paragraph" w:styleId="11">
    <w:name w:val="heading 9"/>
    <w:basedOn w:val="4"/>
    <w:next w:val="4"/>
    <w:qFormat/>
    <w:uiPriority w:val="0"/>
    <w:pPr>
      <w:keepNext/>
      <w:keepLines/>
      <w:numPr>
        <w:ilvl w:val="8"/>
        <w:numId w:val="1"/>
      </w:numPr>
      <w:spacing w:before="240" w:after="64" w:line="319" w:lineRule="auto"/>
      <w:outlineLvl w:val="8"/>
    </w:pPr>
    <w:rPr>
      <w:rFonts w:ascii="Arial" w:hAnsi="Arial" w:eastAsia="黑体, SimHei"/>
      <w:szCs w:val="21"/>
    </w:rPr>
  </w:style>
  <w:style w:type="character" w:default="1" w:styleId="26">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customStyle="1" w:styleId="4">
    <w:name w:val="Standard"/>
    <w:qFormat/>
    <w:uiPriority w:val="0"/>
    <w:pPr>
      <w:widowControl w:val="0"/>
      <w:suppressAutoHyphens/>
      <w:autoSpaceDN w:val="0"/>
      <w:jc w:val="both"/>
      <w:textAlignment w:val="baseline"/>
    </w:pPr>
    <w:rPr>
      <w:rFonts w:ascii="Times New Roman" w:hAnsi="Times New Roman" w:eastAsia="宋体, SimSun" w:cs="Times New Roman"/>
      <w:kern w:val="3"/>
      <w:sz w:val="21"/>
      <w:szCs w:val="24"/>
      <w:lang w:val="en-US" w:eastAsia="zh-CN" w:bidi="ar-SA"/>
    </w:rPr>
  </w:style>
  <w:style w:type="paragraph" w:styleId="12">
    <w:name w:val="Normal Indent"/>
    <w:basedOn w:val="1"/>
    <w:qFormat/>
    <w:uiPriority w:val="0"/>
    <w:pPr>
      <w:ind w:firstLine="420" w:firstLineChars="200"/>
    </w:pPr>
  </w:style>
  <w:style w:type="paragraph" w:styleId="13">
    <w:name w:val="caption"/>
    <w:basedOn w:val="4"/>
    <w:next w:val="1"/>
    <w:qFormat/>
    <w:uiPriority w:val="0"/>
    <w:pPr>
      <w:suppressLineNumbers/>
      <w:spacing w:before="120" w:after="120"/>
    </w:pPr>
    <w:rPr>
      <w:rFonts w:cs="Tahoma"/>
      <w:i/>
      <w:iCs/>
      <w:sz w:val="24"/>
    </w:rPr>
  </w:style>
  <w:style w:type="paragraph" w:styleId="14">
    <w:name w:val="Document Map"/>
    <w:basedOn w:val="4"/>
    <w:qFormat/>
    <w:uiPriority w:val="0"/>
    <w:pPr>
      <w:shd w:val="clear" w:color="auto" w:fill="000080"/>
    </w:pPr>
  </w:style>
  <w:style w:type="paragraph" w:styleId="15">
    <w:name w:val="annotation text"/>
    <w:basedOn w:val="4"/>
    <w:qFormat/>
    <w:uiPriority w:val="0"/>
    <w:pPr>
      <w:jc w:val="left"/>
    </w:pPr>
  </w:style>
  <w:style w:type="paragraph" w:styleId="16">
    <w:name w:val="Plain Text"/>
    <w:basedOn w:val="4"/>
    <w:qFormat/>
    <w:uiPriority w:val="0"/>
    <w:rPr>
      <w:rFonts w:ascii="宋体, SimSun" w:hAnsi="宋体, SimSun"/>
      <w:szCs w:val="21"/>
    </w:rPr>
  </w:style>
  <w:style w:type="paragraph" w:styleId="17">
    <w:name w:val="Body Text Indent 2"/>
    <w:basedOn w:val="4"/>
    <w:qFormat/>
    <w:uiPriority w:val="0"/>
    <w:pPr>
      <w:spacing w:after="120" w:line="480" w:lineRule="auto"/>
      <w:ind w:left="420"/>
    </w:pPr>
  </w:style>
  <w:style w:type="paragraph" w:styleId="18">
    <w:name w:val="Balloon Text"/>
    <w:basedOn w:val="4"/>
    <w:qFormat/>
    <w:uiPriority w:val="0"/>
    <w:rPr>
      <w:sz w:val="18"/>
      <w:szCs w:val="18"/>
    </w:rPr>
  </w:style>
  <w:style w:type="paragraph" w:styleId="19">
    <w:name w:val="footer"/>
    <w:basedOn w:val="4"/>
    <w:qFormat/>
    <w:uiPriority w:val="0"/>
    <w:pPr>
      <w:tabs>
        <w:tab w:val="center" w:pos="4153"/>
        <w:tab w:val="right" w:pos="8306"/>
      </w:tabs>
      <w:snapToGrid w:val="0"/>
      <w:jc w:val="left"/>
    </w:pPr>
    <w:rPr>
      <w:sz w:val="18"/>
      <w:szCs w:val="18"/>
    </w:rPr>
  </w:style>
  <w:style w:type="paragraph" w:styleId="20">
    <w:name w:val="header"/>
    <w:basedOn w:val="1"/>
    <w:qFormat/>
    <w:uiPriority w:val="0"/>
    <w:pPr>
      <w:pBdr>
        <w:bottom w:val="single" w:color="000000" w:sz="4" w:space="1"/>
      </w:pBdr>
      <w:tabs>
        <w:tab w:val="center" w:pos="4153"/>
        <w:tab w:val="right" w:pos="8306"/>
      </w:tabs>
      <w:snapToGrid w:val="0"/>
      <w:jc w:val="center"/>
    </w:pPr>
    <w:rPr>
      <w:sz w:val="18"/>
      <w:szCs w:val="18"/>
    </w:rPr>
  </w:style>
  <w:style w:type="paragraph" w:styleId="21">
    <w:name w:val="List"/>
    <w:basedOn w:val="22"/>
    <w:qFormat/>
    <w:uiPriority w:val="0"/>
    <w:rPr>
      <w:rFonts w:cs="Tahoma"/>
    </w:rPr>
  </w:style>
  <w:style w:type="paragraph" w:customStyle="1" w:styleId="22">
    <w:name w:val="Text body"/>
    <w:basedOn w:val="4"/>
    <w:qFormat/>
    <w:uiPriority w:val="0"/>
    <w:pPr>
      <w:spacing w:after="120"/>
    </w:pPr>
  </w:style>
  <w:style w:type="paragraph" w:styleId="23">
    <w:name w:val="Normal (Web)"/>
    <w:basedOn w:val="1"/>
    <w:qFormat/>
    <w:uiPriority w:val="99"/>
    <w:pPr>
      <w:widowControl/>
      <w:spacing w:before="100" w:beforeAutospacing="1" w:after="100" w:afterAutospacing="1"/>
      <w:jc w:val="left"/>
    </w:pPr>
    <w:rPr>
      <w:rFonts w:ascii="宋体" w:hAnsi="宋体" w:cs="宋体"/>
      <w:kern w:val="0"/>
    </w:rPr>
  </w:style>
  <w:style w:type="paragraph" w:styleId="24">
    <w:name w:val="annotation subject"/>
    <w:basedOn w:val="15"/>
    <w:next w:val="15"/>
    <w:qFormat/>
    <w:uiPriority w:val="0"/>
    <w:rPr>
      <w:b/>
      <w:bCs/>
    </w:rPr>
  </w:style>
  <w:style w:type="character" w:styleId="27">
    <w:name w:val="Strong"/>
    <w:basedOn w:val="26"/>
    <w:qFormat/>
    <w:uiPriority w:val="22"/>
    <w:rPr>
      <w:b/>
      <w:bCs/>
    </w:rPr>
  </w:style>
  <w:style w:type="character" w:styleId="28">
    <w:name w:val="annotation reference"/>
    <w:basedOn w:val="26"/>
    <w:qFormat/>
    <w:uiPriority w:val="0"/>
    <w:rPr>
      <w:sz w:val="21"/>
      <w:szCs w:val="21"/>
    </w:rPr>
  </w:style>
  <w:style w:type="paragraph" w:customStyle="1" w:styleId="29">
    <w:name w:val="Heading"/>
    <w:basedOn w:val="4"/>
    <w:next w:val="22"/>
    <w:qFormat/>
    <w:uiPriority w:val="0"/>
    <w:pPr>
      <w:keepNext/>
      <w:spacing w:before="240" w:after="120"/>
    </w:pPr>
    <w:rPr>
      <w:rFonts w:ascii="Arial" w:hAnsi="Arial" w:eastAsia="宋体" w:cs="Tahoma"/>
      <w:sz w:val="28"/>
      <w:szCs w:val="28"/>
    </w:rPr>
  </w:style>
  <w:style w:type="paragraph" w:customStyle="1" w:styleId="30">
    <w:name w:val="Index"/>
    <w:basedOn w:val="4"/>
    <w:qFormat/>
    <w:uiPriority w:val="0"/>
    <w:pPr>
      <w:suppressLineNumbers/>
    </w:pPr>
    <w:rPr>
      <w:rFonts w:cs="Tahoma"/>
    </w:rPr>
  </w:style>
  <w:style w:type="paragraph" w:customStyle="1" w:styleId="31">
    <w:name w:val="xl24"/>
    <w:basedOn w:val="4"/>
    <w:qFormat/>
    <w:uiPriority w:val="0"/>
    <w:pPr>
      <w:widowControl/>
      <w:spacing w:before="280" w:after="280"/>
      <w:jc w:val="center"/>
      <w:textAlignment w:val="center"/>
    </w:pPr>
    <w:rPr>
      <w:rFonts w:ascii="宋体, SimSun" w:hAnsi="宋体, SimSun"/>
      <w:sz w:val="24"/>
    </w:rPr>
  </w:style>
  <w:style w:type="paragraph" w:customStyle="1" w:styleId="32">
    <w:name w:val="Text body indent"/>
    <w:basedOn w:val="4"/>
    <w:qFormat/>
    <w:uiPriority w:val="0"/>
    <w:pPr>
      <w:spacing w:line="360" w:lineRule="auto"/>
      <w:ind w:firstLine="420"/>
    </w:pPr>
    <w:rPr>
      <w:b/>
      <w:bCs/>
      <w:szCs w:val="20"/>
    </w:rPr>
  </w:style>
  <w:style w:type="paragraph" w:customStyle="1" w:styleId="33">
    <w:name w:val="Char Char Char Char"/>
    <w:basedOn w:val="14"/>
    <w:qFormat/>
    <w:uiPriority w:val="0"/>
    <w:rPr>
      <w:rFonts w:ascii="Tahoma" w:hAnsi="Tahoma"/>
      <w:sz w:val="24"/>
    </w:rPr>
  </w:style>
  <w:style w:type="paragraph" w:customStyle="1" w:styleId="34">
    <w:name w:val="Frame contents"/>
    <w:basedOn w:val="22"/>
    <w:qFormat/>
    <w:uiPriority w:val="0"/>
  </w:style>
  <w:style w:type="paragraph" w:customStyle="1" w:styleId="35">
    <w:name w:val="Table Contents"/>
    <w:basedOn w:val="4"/>
    <w:qFormat/>
    <w:uiPriority w:val="0"/>
    <w:pPr>
      <w:suppressLineNumbers/>
    </w:pPr>
  </w:style>
  <w:style w:type="paragraph" w:customStyle="1" w:styleId="36">
    <w:name w:val="Table Heading"/>
    <w:basedOn w:val="35"/>
    <w:qFormat/>
    <w:uiPriority w:val="0"/>
    <w:pPr>
      <w:jc w:val="center"/>
    </w:pPr>
    <w:rPr>
      <w:b/>
      <w:bCs/>
    </w:rPr>
  </w:style>
  <w:style w:type="paragraph" w:customStyle="1" w:styleId="37">
    <w:name w:val="样式 正文缩进 + 首行缩进:  2 字符"/>
    <w:basedOn w:val="12"/>
    <w:qFormat/>
    <w:uiPriority w:val="0"/>
    <w:pPr>
      <w:spacing w:line="360" w:lineRule="auto"/>
      <w:ind w:firstLine="200"/>
    </w:pPr>
    <w:rPr>
      <w:rFonts w:cs="宋体"/>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5CB2A-6373-4B81-9733-2934AD7D92BF}">
  <ds:schemaRefs/>
</ds:datastoreItem>
</file>

<file path=docProps/app.xml><?xml version="1.0" encoding="utf-8"?>
<Properties xmlns="http://schemas.openxmlformats.org/officeDocument/2006/extended-properties" xmlns:vt="http://schemas.openxmlformats.org/officeDocument/2006/docPropsVTypes">
  <Template>Normal</Template>
  <Company>Neusoft</Company>
  <Pages>10</Pages>
  <Words>4324</Words>
  <Characters>4458</Characters>
  <Lines>33</Lines>
  <Paragraphs>9</Paragraphs>
  <TotalTime>46</TotalTime>
  <ScaleCrop>false</ScaleCrop>
  <LinksUpToDate>false</LinksUpToDate>
  <CharactersWithSpaces>4597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2025-05-13T09:06:00Z</dcterms:created>
  <dc:creator>张崴</dc:creator>
  <cp:lastModifiedBy>Jerry Wan</cp:lastModifiedBy>
  <cp:lastPrinted>2006-12-20T17:11:00Z</cp:lastPrinted>
  <dcterms:modified xsi:type="dcterms:W3CDTF">2025-12-12T06:58:30Z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eyJoZGlkIjoiMzY1YTUxYjZiNWQ0ZWE2NTIzZjMzMzJlYTk3YmQ5ODEiLCJ1c2VySWQiOiIzNjQ4MjQyMDkifQ==</vt:lpwstr>
  </property>
  <property fmtid="{D5CDD505-2E9C-101B-9397-08002B2CF9AE}" pid="4" name="ICV">
    <vt:lpwstr>F6B5C245B206406391AB00D2DEBED63B_13</vt:lpwstr>
  </property>
</Properties>
</file>